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color w:val="0C0C0C" w:themeColor="text1" w:themeTint="F2"/>
          <w:sz w:val="30"/>
          <w:szCs w:val="30"/>
        </w:rPr>
      </w:pPr>
      <w:r>
        <w:rPr>
          <w:rFonts w:hint="eastAsia"/>
          <w:b/>
          <w:color w:val="0C0C0C" w:themeColor="text1" w:themeTint="F2"/>
          <w:sz w:val="30"/>
          <w:szCs w:val="30"/>
          <w:lang w:eastAsia="zh-CN"/>
        </w:rPr>
        <w:t>饮食干预（</w:t>
      </w:r>
      <w:r>
        <w:rPr>
          <w:rFonts w:hint="eastAsia"/>
          <w:b/>
          <w:color w:val="0C0C0C" w:themeColor="text1" w:themeTint="F2"/>
          <w:sz w:val="30"/>
          <w:szCs w:val="30"/>
        </w:rPr>
        <w:t>碳水化合物</w:t>
      </w:r>
      <w:r>
        <w:rPr>
          <w:rFonts w:hint="eastAsia"/>
          <w:b/>
          <w:color w:val="0C0C0C" w:themeColor="text1" w:themeTint="F2"/>
          <w:sz w:val="30"/>
          <w:szCs w:val="30"/>
          <w:lang w:eastAsia="zh-CN"/>
        </w:rPr>
        <w:t>占比）对</w:t>
      </w:r>
      <w:r>
        <w:rPr>
          <w:rFonts w:hint="eastAsia"/>
          <w:b/>
          <w:color w:val="0C0C0C" w:themeColor="text1" w:themeTint="F2"/>
          <w:sz w:val="30"/>
          <w:szCs w:val="30"/>
          <w:lang w:val="en-US" w:eastAsia="zh-CN"/>
        </w:rPr>
        <w:t>2型</w:t>
      </w:r>
      <w:r>
        <w:rPr>
          <w:rFonts w:hint="eastAsia"/>
          <w:b/>
          <w:color w:val="0C0C0C" w:themeColor="text1" w:themeTint="F2"/>
          <w:sz w:val="30"/>
          <w:szCs w:val="30"/>
        </w:rPr>
        <w:t>糖尿病</w:t>
      </w:r>
      <w:r>
        <w:rPr>
          <w:rFonts w:hint="eastAsia"/>
          <w:b/>
          <w:color w:val="0C0C0C" w:themeColor="text1" w:themeTint="F2"/>
          <w:sz w:val="30"/>
          <w:szCs w:val="30"/>
          <w:lang w:eastAsia="zh-CN"/>
        </w:rPr>
        <w:t>患者的疾病控制与生活质量改善的意义及推广价值</w:t>
      </w:r>
      <w:bookmarkStart w:id="0" w:name="_GoBack"/>
      <w:bookmarkEnd w:id="0"/>
    </w:p>
    <w:p>
      <w:pPr>
        <w:numPr>
          <w:ilvl w:val="0"/>
          <w:numId w:val="1"/>
        </w:numPr>
        <w:spacing w:line="360" w:lineRule="auto"/>
        <w:rPr>
          <w:rFonts w:ascii="Times New Roman" w:hAnsi="Times New Roman" w:eastAsia="宋体" w:cs="Times New Roman"/>
          <w:b/>
          <w:color w:val="0C0C0C" w:themeColor="text1" w:themeTint="F2"/>
          <w:sz w:val="24"/>
        </w:rPr>
      </w:pPr>
      <w:r>
        <w:rPr>
          <w:rFonts w:hint="eastAsia" w:ascii="Times New Roman" w:hAnsi="Times New Roman" w:eastAsia="宋体" w:cs="Times New Roman"/>
          <w:b/>
          <w:color w:val="0C0C0C" w:themeColor="text1" w:themeTint="F2"/>
          <w:sz w:val="24"/>
          <w:lang w:val="en-US" w:eastAsia="zh-CN"/>
        </w:rPr>
        <w:t>成果</w:t>
      </w:r>
      <w:r>
        <w:rPr>
          <w:rFonts w:ascii="Times New Roman" w:hAnsi="Times New Roman" w:eastAsia="宋体" w:cs="Times New Roman"/>
          <w:b/>
          <w:color w:val="0C0C0C" w:themeColor="text1" w:themeTint="F2"/>
          <w:sz w:val="24"/>
        </w:rPr>
        <w:t>名称</w:t>
      </w:r>
    </w:p>
    <w:p>
      <w:pPr>
        <w:spacing w:line="360" w:lineRule="auto"/>
        <w:ind w:firstLine="480" w:firstLineChars="200"/>
        <w:rPr>
          <w:rFonts w:ascii="Times New Roman" w:hAnsi="Times New Roman" w:eastAsia="宋体" w:cs="Times New Roman"/>
          <w:bCs/>
          <w:color w:val="0C0C0C" w:themeColor="text1" w:themeTint="F2"/>
          <w:sz w:val="24"/>
        </w:rPr>
      </w:pPr>
      <w:r>
        <w:rPr>
          <w:rFonts w:hint="eastAsia" w:ascii="Times New Roman" w:hAnsi="Times New Roman" w:eastAsia="宋体" w:cs="Times New Roman"/>
          <w:bCs/>
          <w:color w:val="0C0C0C" w:themeColor="text1" w:themeTint="F2"/>
          <w:sz w:val="24"/>
        </w:rPr>
        <w:t>饮食干预（碳水化合物占比）对2型糖尿病患者的疾病控制与生活质量改善的意义及推广价值</w:t>
      </w:r>
    </w:p>
    <w:p>
      <w:pPr>
        <w:numPr>
          <w:ilvl w:val="0"/>
          <w:numId w:val="1"/>
        </w:numPr>
        <w:spacing w:line="360" w:lineRule="auto"/>
        <w:ind w:left="0" w:leftChars="0" w:firstLine="0" w:firstLineChars="0"/>
        <w:rPr>
          <w:rFonts w:hint="eastAsia" w:ascii="Times New Roman" w:hAnsi="Times New Roman" w:eastAsia="宋体" w:cs="Times New Roman"/>
          <w:b/>
          <w:bCs w:val="0"/>
          <w:color w:val="0C0C0C" w:themeColor="text1" w:themeTint="F2"/>
          <w:sz w:val="24"/>
          <w:lang w:val="en-US" w:eastAsia="zh-CN"/>
        </w:rPr>
      </w:pPr>
      <w:r>
        <w:rPr>
          <w:rFonts w:hint="eastAsia" w:ascii="Times New Roman" w:hAnsi="Times New Roman" w:eastAsia="宋体" w:cs="Times New Roman"/>
          <w:b/>
          <w:bCs w:val="0"/>
          <w:color w:val="0C0C0C" w:themeColor="text1" w:themeTint="F2"/>
          <w:sz w:val="24"/>
          <w:lang w:val="en-US" w:eastAsia="zh-CN"/>
        </w:rPr>
        <w:t>提名者及提名意见</w:t>
      </w:r>
    </w:p>
    <w:p>
      <w:pPr>
        <w:numPr>
          <w:ilvl w:val="0"/>
          <w:numId w:val="0"/>
        </w:numPr>
        <w:spacing w:line="360" w:lineRule="auto"/>
        <w:ind w:leftChars="0" w:firstLine="482" w:firstLineChars="200"/>
        <w:rPr>
          <w:rFonts w:hint="eastAsia" w:ascii="Times New Roman" w:hAnsi="Times New Roman" w:eastAsia="宋体" w:cs="Times New Roman"/>
          <w:b w:val="0"/>
          <w:bCs/>
          <w:color w:val="0C0C0C" w:themeColor="text1" w:themeTint="F2"/>
          <w:sz w:val="24"/>
          <w:lang w:val="en-US" w:eastAsia="zh-CN"/>
        </w:rPr>
      </w:pPr>
      <w:r>
        <w:rPr>
          <w:rFonts w:hint="eastAsia" w:ascii="Times New Roman" w:hAnsi="Times New Roman" w:eastAsia="宋体" w:cs="Times New Roman"/>
          <w:b/>
          <w:bCs w:val="0"/>
          <w:color w:val="0C0C0C" w:themeColor="text1" w:themeTint="F2"/>
          <w:sz w:val="24"/>
          <w:lang w:val="en-US" w:eastAsia="zh-CN"/>
        </w:rPr>
        <w:t>提名者：</w:t>
      </w:r>
      <w:r>
        <w:rPr>
          <w:rFonts w:hint="eastAsia" w:ascii="Times New Roman" w:hAnsi="Times New Roman" w:eastAsia="宋体" w:cs="Times New Roman"/>
          <w:b w:val="0"/>
          <w:bCs/>
          <w:color w:val="0C0C0C" w:themeColor="text1" w:themeTint="F2"/>
          <w:sz w:val="24"/>
          <w:lang w:val="en-US" w:eastAsia="zh-CN"/>
        </w:rPr>
        <w:t>浙江省卫生健康委员会</w:t>
      </w:r>
    </w:p>
    <w:p>
      <w:pPr>
        <w:numPr>
          <w:ilvl w:val="0"/>
          <w:numId w:val="0"/>
        </w:numPr>
        <w:spacing w:line="360" w:lineRule="auto"/>
        <w:ind w:leftChars="0" w:firstLine="482" w:firstLineChars="200"/>
        <w:rPr>
          <w:rFonts w:hint="default" w:ascii="Times New Roman" w:hAnsi="Times New Roman" w:eastAsia="宋体" w:cs="Times New Roman"/>
          <w:b w:val="0"/>
          <w:bCs/>
          <w:color w:val="0C0C0C" w:themeColor="text1" w:themeTint="F2"/>
          <w:sz w:val="24"/>
          <w:lang w:val="en-US" w:eastAsia="zh-CN"/>
        </w:rPr>
      </w:pPr>
      <w:r>
        <w:rPr>
          <w:rFonts w:hint="eastAsia"/>
          <w:b/>
          <w:bCs/>
          <w:sz w:val="24"/>
          <w:szCs w:val="24"/>
          <w:lang w:val="en-US" w:eastAsia="zh-CN"/>
        </w:rPr>
        <w:t>提名等级：</w:t>
      </w:r>
      <w:r>
        <w:rPr>
          <w:rFonts w:hint="eastAsia"/>
          <w:sz w:val="24"/>
          <w:szCs w:val="24"/>
          <w:lang w:val="en-US" w:eastAsia="zh-CN"/>
        </w:rPr>
        <w:t>二等奖</w:t>
      </w:r>
    </w:p>
    <w:p>
      <w:pPr>
        <w:numPr>
          <w:ilvl w:val="0"/>
          <w:numId w:val="0"/>
        </w:numPr>
        <w:spacing w:line="360" w:lineRule="auto"/>
        <w:ind w:leftChars="0" w:firstLine="482" w:firstLineChars="200"/>
        <w:rPr>
          <w:rFonts w:hint="default" w:ascii="Times New Roman" w:hAnsi="Times New Roman" w:eastAsia="宋体" w:cs="Times New Roman"/>
          <w:b w:val="0"/>
          <w:bCs/>
          <w:color w:val="0C0C0C" w:themeColor="text1" w:themeTint="F2"/>
          <w:sz w:val="24"/>
          <w:lang w:val="en-US" w:eastAsia="zh-CN"/>
        </w:rPr>
      </w:pPr>
      <w:r>
        <w:rPr>
          <w:rFonts w:hint="eastAsia" w:ascii="Times New Roman" w:hAnsi="Times New Roman" w:eastAsia="宋体" w:cs="Times New Roman"/>
          <w:b/>
          <w:bCs w:val="0"/>
          <w:color w:val="0C0C0C" w:themeColor="text1" w:themeTint="F2"/>
          <w:sz w:val="24"/>
          <w:lang w:val="en-US" w:eastAsia="zh-CN"/>
        </w:rPr>
        <w:t>提名意见：</w:t>
      </w:r>
      <w:r>
        <w:rPr>
          <w:rFonts w:hint="default" w:ascii="Times New Roman" w:hAnsi="Times New Roman" w:eastAsia="宋体" w:cs="Times New Roman"/>
          <w:sz w:val="24"/>
          <w:szCs w:val="24"/>
        </w:rPr>
        <w:t>本研究</w:t>
      </w:r>
      <w:r>
        <w:rPr>
          <w:rFonts w:hint="default" w:ascii="Times New Roman" w:hAnsi="Times New Roman" w:eastAsia="宋体" w:cs="Times New Roman"/>
          <w:sz w:val="24"/>
          <w:szCs w:val="24"/>
          <w:lang w:val="en-US" w:eastAsia="zh-CN"/>
        </w:rPr>
        <w:t>以《碳水化合物交换份法在糖尿病饮食干预中的应用研究》为依托，</w:t>
      </w:r>
      <w:r>
        <w:rPr>
          <w:rFonts w:hint="default" w:ascii="Times New Roman" w:hAnsi="Times New Roman" w:eastAsia="宋体" w:cs="Times New Roman"/>
          <w:sz w:val="24"/>
          <w:szCs w:val="24"/>
        </w:rPr>
        <w:t>探索了</w:t>
      </w:r>
      <w:r>
        <w:rPr>
          <w:rFonts w:hint="default" w:ascii="Times New Roman" w:hAnsi="Times New Roman" w:eastAsia="宋体" w:cs="Times New Roman"/>
          <w:bCs/>
          <w:color w:val="0C0C0C"/>
          <w:sz w:val="24"/>
          <w:szCs w:val="24"/>
        </w:rPr>
        <w:t>饮食干预（碳水化合物占比）</w:t>
      </w:r>
      <w:r>
        <w:rPr>
          <w:rFonts w:hint="default" w:ascii="Times New Roman" w:hAnsi="Times New Roman" w:eastAsia="宋体" w:cs="Times New Roman"/>
          <w:sz w:val="24"/>
          <w:szCs w:val="24"/>
        </w:rPr>
        <w:t>在</w:t>
      </w:r>
      <w:r>
        <w:rPr>
          <w:rFonts w:hint="default" w:ascii="Times New Roman" w:hAnsi="Times New Roman" w:eastAsia="宋体" w:cs="Times New Roman"/>
          <w:sz w:val="24"/>
          <w:szCs w:val="24"/>
          <w:lang w:val="en-US" w:eastAsia="zh-CN"/>
        </w:rPr>
        <w:t>2型糖尿病、</w:t>
      </w:r>
      <w:r>
        <w:rPr>
          <w:rFonts w:hint="default" w:ascii="Times New Roman" w:hAnsi="Times New Roman" w:eastAsia="宋体" w:cs="Times New Roman"/>
          <w:sz w:val="24"/>
          <w:szCs w:val="24"/>
        </w:rPr>
        <w:t>肥胖、非酒精性脂肪肝</w:t>
      </w:r>
      <w:r>
        <w:rPr>
          <w:rFonts w:hint="default" w:ascii="Times New Roman" w:hAnsi="Times New Roman" w:eastAsia="宋体" w:cs="Times New Roman"/>
          <w:sz w:val="24"/>
          <w:szCs w:val="24"/>
          <w:lang w:eastAsia="zh-CN"/>
        </w:rPr>
        <w:t>、糖尿病肾病</w:t>
      </w:r>
      <w:r>
        <w:rPr>
          <w:rFonts w:hint="default" w:ascii="Times New Roman" w:hAnsi="Times New Roman" w:eastAsia="宋体" w:cs="Times New Roman"/>
          <w:sz w:val="24"/>
          <w:szCs w:val="24"/>
        </w:rPr>
        <w:t>等疾病中的应用效果及整体膳食模式在中年人群糖尿病、肥胖</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高血压</w:t>
      </w:r>
      <w:r>
        <w:rPr>
          <w:rFonts w:hint="default" w:ascii="Times New Roman" w:hAnsi="Times New Roman" w:eastAsia="宋体" w:cs="Times New Roman"/>
          <w:sz w:val="24"/>
          <w:szCs w:val="24"/>
          <w:lang w:eastAsia="zh-CN"/>
        </w:rPr>
        <w:t>、慢性肾病</w:t>
      </w:r>
      <w:r>
        <w:rPr>
          <w:rFonts w:hint="default" w:ascii="Times New Roman" w:hAnsi="Times New Roman" w:eastAsia="宋体" w:cs="Times New Roman"/>
          <w:sz w:val="24"/>
          <w:szCs w:val="24"/>
        </w:rPr>
        <w:t>等疾病中的作用。</w:t>
      </w:r>
      <w:r>
        <w:rPr>
          <w:rFonts w:hint="default" w:ascii="Times New Roman" w:hAnsi="Times New Roman" w:eastAsia="宋体" w:cs="Times New Roman"/>
          <w:b/>
          <w:bCs/>
          <w:sz w:val="24"/>
          <w:szCs w:val="24"/>
          <w:lang w:val="en-US" w:eastAsia="zh-CN"/>
        </w:rPr>
        <w:t>在阐述饮食干预对2型糖尿病、</w:t>
      </w:r>
      <w:r>
        <w:rPr>
          <w:rFonts w:hint="default" w:ascii="Times New Roman" w:hAnsi="Times New Roman" w:eastAsia="宋体" w:cs="Times New Roman"/>
          <w:b/>
          <w:bCs/>
          <w:sz w:val="24"/>
          <w:szCs w:val="24"/>
        </w:rPr>
        <w:t>非酒精性脂肪肝、肥胖</w:t>
      </w:r>
      <w:r>
        <w:rPr>
          <w:rFonts w:hint="default" w:ascii="Times New Roman" w:hAnsi="Times New Roman" w:eastAsia="宋体" w:cs="Times New Roman"/>
          <w:b/>
          <w:bCs/>
          <w:sz w:val="24"/>
          <w:szCs w:val="24"/>
          <w:lang w:eastAsia="zh-CN"/>
        </w:rPr>
        <w:t>、糖尿病肾病</w:t>
      </w:r>
      <w:r>
        <w:rPr>
          <w:rFonts w:hint="default" w:ascii="Times New Roman" w:hAnsi="Times New Roman" w:eastAsia="宋体" w:cs="Times New Roman"/>
          <w:b/>
          <w:bCs/>
          <w:sz w:val="24"/>
          <w:szCs w:val="24"/>
          <w:lang w:val="en-US" w:eastAsia="zh-CN"/>
        </w:rPr>
        <w:t>等疾病的作用及整体膳食模式与慢性非传染性疾病的关系等方面取得了一系列创新成果</w:t>
      </w:r>
      <w:r>
        <w:rPr>
          <w:rFonts w:hint="default" w:ascii="Times New Roman" w:hAnsi="Times New Roman" w:eastAsia="宋体" w:cs="Times New Roman"/>
          <w:sz w:val="24"/>
          <w:szCs w:val="24"/>
          <w:lang w:val="en-US" w:eastAsia="zh-CN"/>
        </w:rPr>
        <w:t>，对</w:t>
      </w:r>
      <w:r>
        <w:rPr>
          <w:rFonts w:hint="default" w:ascii="Times New Roman" w:hAnsi="Times New Roman" w:eastAsia="宋体" w:cs="Times New Roman"/>
          <w:sz w:val="24"/>
          <w:szCs w:val="24"/>
        </w:rPr>
        <w:t>解释我国近年来高血压、肥胖、糖尿病、动脉粥样硬化等慢性非传染性疾病在中年人群中高发</w:t>
      </w:r>
      <w:r>
        <w:rPr>
          <w:rFonts w:hint="default" w:ascii="Times New Roman" w:hAnsi="Times New Roman" w:eastAsia="宋体" w:cs="Times New Roman"/>
          <w:sz w:val="24"/>
          <w:szCs w:val="24"/>
          <w:lang w:val="en-US" w:eastAsia="zh-CN"/>
        </w:rPr>
        <w:t>具</w:t>
      </w:r>
      <w:r>
        <w:rPr>
          <w:rFonts w:hint="default" w:ascii="Times New Roman" w:hAnsi="Times New Roman" w:eastAsia="宋体" w:cs="Times New Roman"/>
          <w:sz w:val="24"/>
          <w:szCs w:val="24"/>
        </w:rPr>
        <w:t>有重要的意义，</w:t>
      </w:r>
      <w:r>
        <w:rPr>
          <w:rFonts w:hint="default" w:ascii="Times New Roman" w:hAnsi="Times New Roman" w:eastAsia="宋体" w:cs="Times New Roman"/>
          <w:b/>
          <w:bCs/>
          <w:sz w:val="24"/>
          <w:szCs w:val="24"/>
          <w:lang w:val="en-US" w:eastAsia="zh-CN"/>
        </w:rPr>
        <w:t>从饮食管理的角度阐明了慢病管理的科学性及可操作性，</w:t>
      </w:r>
      <w:r>
        <w:rPr>
          <w:rFonts w:hint="default" w:ascii="Times New Roman" w:hAnsi="Times New Roman" w:eastAsia="宋体" w:cs="Times New Roman"/>
          <w:b/>
          <w:bCs/>
          <w:sz w:val="24"/>
          <w:szCs w:val="24"/>
        </w:rPr>
        <w:t>为指导疾病的预防和控制提供一新的视角</w:t>
      </w:r>
      <w:r>
        <w:rPr>
          <w:rFonts w:hint="default" w:ascii="Times New Roman" w:hAnsi="Times New Roman" w:eastAsia="宋体" w:cs="Times New Roman"/>
          <w:sz w:val="24"/>
          <w:szCs w:val="24"/>
        </w:rPr>
        <w:t>。目前共累计发表论文</w:t>
      </w:r>
      <w:r>
        <w:rPr>
          <w:rFonts w:hint="eastAsia" w:ascii="Times New Roman" w:hAnsi="Times New Roman" w:eastAsia="宋体" w:cs="Times New Roman"/>
          <w:color w:val="auto"/>
          <w:sz w:val="24"/>
          <w:szCs w:val="24"/>
          <w:lang w:val="en-US" w:eastAsia="zh-CN"/>
        </w:rPr>
        <w:t>27</w:t>
      </w:r>
      <w:r>
        <w:rPr>
          <w:rFonts w:hint="default" w:ascii="Times New Roman" w:hAnsi="Times New Roman" w:eastAsia="宋体" w:cs="Times New Roman"/>
          <w:color w:val="auto"/>
          <w:sz w:val="24"/>
          <w:szCs w:val="24"/>
        </w:rPr>
        <w:t>篇 ，其中SCI收录</w:t>
      </w:r>
      <w:r>
        <w:rPr>
          <w:rFonts w:hint="eastAsia" w:ascii="Times New Roman" w:hAnsi="Times New Roman" w:eastAsia="宋体" w:cs="Times New Roman"/>
          <w:color w:val="auto"/>
          <w:sz w:val="24"/>
          <w:szCs w:val="24"/>
          <w:lang w:val="en-US" w:eastAsia="zh-CN"/>
        </w:rPr>
        <w:t>17</w:t>
      </w:r>
      <w:r>
        <w:rPr>
          <w:rFonts w:hint="default" w:ascii="Times New Roman" w:hAnsi="Times New Roman" w:eastAsia="宋体" w:cs="Times New Roman"/>
          <w:color w:val="auto"/>
          <w:sz w:val="24"/>
          <w:szCs w:val="24"/>
        </w:rPr>
        <w:t>篇</w:t>
      </w:r>
      <w:r>
        <w:rPr>
          <w:rFonts w:hint="default" w:ascii="Times New Roman" w:hAnsi="Times New Roman" w:eastAsia="宋体" w:cs="Times New Roman"/>
          <w:color w:val="auto"/>
          <w:sz w:val="24"/>
          <w:szCs w:val="24"/>
          <w:lang w:val="en-US" w:eastAsia="zh-CN"/>
        </w:rPr>
        <w:t>，代表性论著10篇，其中</w:t>
      </w:r>
      <w:r>
        <w:rPr>
          <w:rFonts w:hint="default" w:ascii="Times New Roman" w:hAnsi="Times New Roman" w:eastAsia="宋体" w:cs="Times New Roman"/>
          <w:color w:val="auto"/>
          <w:sz w:val="24"/>
          <w:szCs w:val="24"/>
        </w:rPr>
        <w:t>SCI收录</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篇</w:t>
      </w:r>
      <w:r>
        <w:rPr>
          <w:rFonts w:hint="default" w:ascii="Times New Roman" w:hAnsi="Times New Roman" w:eastAsia="宋体" w:cs="Times New Roman"/>
          <w:color w:val="auto"/>
          <w:sz w:val="24"/>
          <w:szCs w:val="24"/>
          <w:lang w:eastAsia="zh-CN"/>
        </w:rPr>
        <w:t>，累积影响因子</w:t>
      </w:r>
      <w:r>
        <w:rPr>
          <w:rFonts w:hint="eastAsia" w:ascii="Times New Roman" w:hAnsi="Times New Roman" w:eastAsia="宋体" w:cs="Times New Roman"/>
          <w:color w:val="auto"/>
          <w:sz w:val="24"/>
          <w:szCs w:val="24"/>
          <w:lang w:val="en-US" w:eastAsia="zh-CN"/>
        </w:rPr>
        <w:t>14.071</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累计被引用</w:t>
      </w:r>
      <w:r>
        <w:rPr>
          <w:rFonts w:hint="eastAsia" w:ascii="Times New Roman" w:hAnsi="Times New Roman" w:eastAsia="宋体" w:cs="Times New Roman"/>
          <w:color w:val="auto"/>
          <w:sz w:val="24"/>
          <w:szCs w:val="24"/>
          <w:lang w:val="en-US" w:eastAsia="zh-CN"/>
        </w:rPr>
        <w:t>53</w:t>
      </w:r>
      <w:r>
        <w:rPr>
          <w:rFonts w:hint="default" w:ascii="Times New Roman" w:hAnsi="Times New Roman" w:eastAsia="宋体" w:cs="Times New Roman"/>
          <w:color w:val="auto"/>
          <w:sz w:val="24"/>
          <w:szCs w:val="24"/>
        </w:rPr>
        <w:t>次 ，</w:t>
      </w:r>
      <w:r>
        <w:rPr>
          <w:rFonts w:hint="default" w:ascii="Times New Roman" w:hAnsi="Times New Roman" w:eastAsia="宋体" w:cs="Times New Roman"/>
          <w:color w:val="auto"/>
          <w:sz w:val="24"/>
          <w:szCs w:val="24"/>
          <w:lang w:eastAsia="zh-CN"/>
        </w:rPr>
        <w:t>其中他引</w:t>
      </w:r>
      <w:r>
        <w:rPr>
          <w:rFonts w:hint="eastAsia" w:ascii="Times New Roman" w:hAnsi="Times New Roman" w:eastAsia="宋体" w:cs="Times New Roman"/>
          <w:color w:val="auto"/>
          <w:sz w:val="24"/>
          <w:szCs w:val="24"/>
          <w:lang w:val="en-US" w:eastAsia="zh-CN"/>
        </w:rPr>
        <w:t>46</w:t>
      </w:r>
      <w:r>
        <w:rPr>
          <w:rFonts w:hint="default" w:ascii="Times New Roman" w:hAnsi="Times New Roman" w:eastAsia="宋体" w:cs="Times New Roman"/>
          <w:color w:val="auto"/>
          <w:sz w:val="24"/>
          <w:szCs w:val="24"/>
        </w:rPr>
        <w:t>次</w:t>
      </w:r>
      <w:r>
        <w:rPr>
          <w:rFonts w:hint="default" w:ascii="Times New Roman" w:hAnsi="Times New Roman" w:eastAsia="宋体" w:cs="Times New Roman"/>
          <w:color w:val="auto"/>
          <w:sz w:val="24"/>
          <w:szCs w:val="24"/>
          <w:lang w:eastAsia="zh-CN"/>
        </w:rPr>
        <w:t>，单篇最大他引</w:t>
      </w:r>
      <w:r>
        <w:rPr>
          <w:rFonts w:hint="eastAsia" w:ascii="Times New Roman" w:hAnsi="Times New Roman" w:eastAsia="宋体" w:cs="Times New Roman"/>
          <w:color w:val="auto"/>
          <w:sz w:val="24"/>
          <w:szCs w:val="24"/>
          <w:lang w:val="en-US" w:eastAsia="zh-CN"/>
        </w:rPr>
        <w:t>21</w:t>
      </w:r>
      <w:r>
        <w:rPr>
          <w:rFonts w:hint="default" w:ascii="Times New Roman" w:hAnsi="Times New Roman" w:eastAsia="宋体" w:cs="Times New Roman"/>
          <w:sz w:val="24"/>
          <w:szCs w:val="24"/>
        </w:rPr>
        <w:t>次</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主编副主编专著2本</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培养浙江省医坛新秀</w:t>
      </w:r>
      <w:r>
        <w:rPr>
          <w:rFonts w:hint="eastAsia" w:ascii="Times New Roman" w:hAnsi="Times New Roman" w:eastAsia="宋体" w:cs="Times New Roman"/>
          <w:sz w:val="24"/>
          <w:szCs w:val="24"/>
          <w:lang w:val="en-US" w:eastAsia="zh-CN"/>
        </w:rPr>
        <w:t>1名，</w:t>
      </w:r>
      <w:r>
        <w:rPr>
          <w:rFonts w:hint="default" w:ascii="Times New Roman" w:hAnsi="Times New Roman" w:eastAsia="宋体" w:cs="Times New Roman"/>
          <w:sz w:val="24"/>
          <w:szCs w:val="24"/>
        </w:rPr>
        <w:t>培养</w:t>
      </w:r>
      <w:r>
        <w:rPr>
          <w:rFonts w:hint="eastAsia" w:ascii="Times New Roman" w:hAnsi="Times New Roman" w:eastAsia="宋体" w:cs="Times New Roman"/>
          <w:sz w:val="24"/>
          <w:szCs w:val="24"/>
          <w:lang w:eastAsia="zh-CN"/>
        </w:rPr>
        <w:t>院级</w:t>
      </w:r>
      <w:r>
        <w:rPr>
          <w:rFonts w:hint="eastAsia" w:ascii="Times New Roman" w:hAnsi="Times New Roman" w:eastAsia="宋体" w:cs="Times New Roman"/>
          <w:sz w:val="24"/>
          <w:szCs w:val="24"/>
          <w:lang w:val="en-US" w:eastAsia="zh-CN"/>
        </w:rPr>
        <w:t>3060人才1名，</w:t>
      </w:r>
      <w:r>
        <w:rPr>
          <w:rFonts w:hint="default" w:ascii="Times New Roman" w:hAnsi="Times New Roman" w:eastAsia="宋体" w:cs="Times New Roman"/>
          <w:sz w:val="24"/>
          <w:szCs w:val="24"/>
        </w:rPr>
        <w:t>院级1530人才1名，晋升副高</w:t>
      </w: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名，中级</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名。在浙江医院、平湖市第一人民医院及安吉县人民医院</w:t>
      </w:r>
      <w:r>
        <w:rPr>
          <w:rFonts w:hint="default" w:ascii="Times New Roman" w:hAnsi="Times New Roman" w:eastAsia="宋体" w:cs="Times New Roman"/>
          <w:sz w:val="24"/>
          <w:szCs w:val="24"/>
          <w:lang w:val="en-US" w:eastAsia="zh-CN"/>
        </w:rPr>
        <w:t>的糖尿病人群中</w:t>
      </w:r>
      <w:r>
        <w:rPr>
          <w:rFonts w:hint="default" w:ascii="Times New Roman" w:hAnsi="Times New Roman" w:eastAsia="宋体" w:cs="Times New Roman"/>
          <w:sz w:val="24"/>
          <w:szCs w:val="24"/>
        </w:rPr>
        <w:t>进行推广应用，</w:t>
      </w:r>
      <w:r>
        <w:rPr>
          <w:rFonts w:hint="default" w:ascii="Times New Roman" w:hAnsi="Times New Roman" w:eastAsia="宋体" w:cs="Times New Roman"/>
          <w:sz w:val="24"/>
          <w:szCs w:val="24"/>
          <w:lang w:val="en-US" w:eastAsia="zh-CN"/>
        </w:rPr>
        <w:t>取得了较好的效果，</w:t>
      </w:r>
      <w:r>
        <w:rPr>
          <w:rFonts w:hint="default" w:ascii="Times New Roman" w:hAnsi="Times New Roman" w:eastAsia="宋体" w:cs="Times New Roman"/>
          <w:bCs/>
          <w:color w:val="000000"/>
          <w:sz w:val="24"/>
          <w:szCs w:val="24"/>
        </w:rPr>
        <w:t>可以明显改善住院2型糖尿病患者的血糖及糖化血红蛋白水平，减少血糖波动，提高治疗达标率，同时可以降低其医疗费用，且患者依从性良好。</w:t>
      </w:r>
      <w:r>
        <w:rPr>
          <w:rFonts w:hint="default" w:ascii="Times New Roman" w:hAnsi="Times New Roman" w:eastAsia="宋体" w:cs="Times New Roman"/>
          <w:sz w:val="24"/>
          <w:szCs w:val="24"/>
          <w:lang w:val="en-US" w:eastAsia="zh-CN"/>
        </w:rPr>
        <w:t>具有良好的社会效益。该成果得到了相关部门的认可，有望进一步在更多单位进行推广应用。该研究成果处于国内领先水平，符合条例要求，同意推荐。推荐该项目为省科技进步二等奖。</w:t>
      </w:r>
    </w:p>
    <w:p>
      <w:pPr>
        <w:numPr>
          <w:ilvl w:val="0"/>
          <w:numId w:val="1"/>
        </w:numPr>
        <w:spacing w:line="360" w:lineRule="auto"/>
        <w:rPr>
          <w:rFonts w:ascii="Times New Roman" w:hAnsi="Times New Roman" w:eastAsia="宋体" w:cs="Times New Roman"/>
          <w:b/>
          <w:color w:val="0C0C0C" w:themeColor="text1" w:themeTint="F2"/>
          <w:sz w:val="24"/>
        </w:rPr>
      </w:pPr>
      <w:r>
        <w:rPr>
          <w:rFonts w:hint="eastAsia" w:ascii="Times New Roman" w:hAnsi="Times New Roman" w:eastAsia="宋体" w:cs="Times New Roman"/>
          <w:b/>
          <w:color w:val="0C0C0C" w:themeColor="text1" w:themeTint="F2"/>
          <w:sz w:val="24"/>
          <w:lang w:val="en-US" w:eastAsia="zh-CN"/>
        </w:rPr>
        <w:t>成果</w:t>
      </w:r>
      <w:r>
        <w:rPr>
          <w:rFonts w:ascii="Times New Roman" w:hAnsi="Times New Roman" w:eastAsia="宋体" w:cs="Times New Roman"/>
          <w:b/>
          <w:color w:val="0C0C0C" w:themeColor="text1" w:themeTint="F2"/>
          <w:sz w:val="24"/>
        </w:rPr>
        <w:t>简介</w:t>
      </w:r>
    </w:p>
    <w:p>
      <w:pPr>
        <w:spacing w:line="360" w:lineRule="auto"/>
        <w:ind w:firstLine="480" w:firstLineChars="200"/>
        <w:rPr>
          <w:rFonts w:ascii="Times New Roman" w:hAnsi="Times New Roman" w:eastAsia="宋体" w:cs="Times New Roman"/>
          <w:color w:val="0C0C0C" w:themeColor="text1" w:themeTint="F2"/>
          <w:sz w:val="24"/>
        </w:rPr>
      </w:pPr>
      <w:r>
        <w:rPr>
          <w:rFonts w:ascii="Times New Roman" w:hAnsi="Times New Roman" w:eastAsia="宋体" w:cs="Times New Roman"/>
          <w:color w:val="0C0C0C" w:themeColor="text1" w:themeTint="F2"/>
          <w:sz w:val="24"/>
        </w:rPr>
        <w:t>糖尿病是一种以血糖升高为主的内分泌代谢性疾病，近年来，随着我国居民生活方式与饮食结构的巨大变化，糖尿病的发病率呈现逐年上升的趋势，已成为常见的主要慢性疾病之一。研究表明，糖尿病患者心脑血管风险是非糖尿病患者的2~3倍，其中50%~80%的糖尿病患者最终死于血管并发症。此外，糖尿病所致的各种并发症严重影响了人们的健康，其医疗费用也给个人及社会带来了沉重的经济负担。目前，糖尿病的发病机制尚不清楚，而饮食作为一种重要因素，在糖尿病的发生和发展过程中起着重要作用。</w:t>
      </w:r>
    </w:p>
    <w:p>
      <w:pPr>
        <w:spacing w:line="360" w:lineRule="auto"/>
        <w:ind w:firstLine="480" w:firstLineChars="200"/>
        <w:rPr>
          <w:rFonts w:ascii="Times New Roman" w:hAnsi="Times New Roman" w:eastAsia="宋体" w:cs="Times New Roman"/>
          <w:color w:val="0C0C0C" w:themeColor="text1" w:themeTint="F2"/>
          <w:sz w:val="24"/>
        </w:rPr>
      </w:pPr>
      <w:r>
        <w:rPr>
          <w:rFonts w:ascii="Times New Roman" w:hAnsi="Times New Roman" w:eastAsia="宋体" w:cs="Times New Roman"/>
          <w:color w:val="0C0C0C" w:themeColor="text1" w:themeTint="F2"/>
          <w:sz w:val="24"/>
        </w:rPr>
        <w:t>本研究旨在探索</w:t>
      </w:r>
      <w:r>
        <w:rPr>
          <w:rFonts w:hint="eastAsia" w:ascii="Times New Roman" w:hAnsi="Times New Roman" w:eastAsia="宋体" w:cs="Times New Roman"/>
          <w:color w:val="0C0C0C" w:themeColor="text1" w:themeTint="F2"/>
          <w:sz w:val="24"/>
        </w:rPr>
        <w:t>饮食干预（碳水化合物占比）</w:t>
      </w:r>
      <w:r>
        <w:rPr>
          <w:rFonts w:ascii="Times New Roman" w:hAnsi="Times New Roman" w:eastAsia="宋体" w:cs="Times New Roman"/>
          <w:color w:val="0C0C0C" w:themeColor="text1" w:themeTint="F2"/>
          <w:sz w:val="24"/>
        </w:rPr>
        <w:t>在我国</w:t>
      </w:r>
      <w:r>
        <w:rPr>
          <w:rFonts w:hint="eastAsia" w:ascii="Times New Roman" w:hAnsi="Times New Roman" w:eastAsia="宋体" w:cs="Times New Roman"/>
          <w:color w:val="0C0C0C" w:themeColor="text1" w:themeTint="F2"/>
          <w:sz w:val="24"/>
          <w:lang w:val="en-US" w:eastAsia="zh-CN"/>
        </w:rPr>
        <w:t>2型</w:t>
      </w:r>
      <w:r>
        <w:rPr>
          <w:rFonts w:ascii="Times New Roman" w:hAnsi="Times New Roman" w:eastAsia="宋体" w:cs="Times New Roman"/>
          <w:color w:val="0C0C0C" w:themeColor="text1" w:themeTint="F2"/>
          <w:sz w:val="24"/>
        </w:rPr>
        <w:t>糖尿病人群中的实施方法，明确</w:t>
      </w:r>
      <w:r>
        <w:rPr>
          <w:rFonts w:hint="eastAsia" w:ascii="Times New Roman" w:hAnsi="Times New Roman" w:eastAsia="宋体" w:cs="Times New Roman"/>
          <w:color w:val="0C0C0C" w:themeColor="text1" w:themeTint="F2"/>
          <w:sz w:val="24"/>
        </w:rPr>
        <w:t>饮食干预（碳水化合物占比）</w:t>
      </w:r>
      <w:r>
        <w:rPr>
          <w:rFonts w:ascii="Times New Roman" w:hAnsi="Times New Roman" w:eastAsia="宋体" w:cs="Times New Roman"/>
          <w:color w:val="0C0C0C" w:themeColor="text1" w:themeTint="F2"/>
          <w:sz w:val="24"/>
        </w:rPr>
        <w:t>对</w:t>
      </w:r>
      <w:r>
        <w:rPr>
          <w:rFonts w:hint="eastAsia" w:ascii="Times New Roman" w:hAnsi="Times New Roman" w:eastAsia="宋体" w:cs="Times New Roman"/>
          <w:color w:val="0C0C0C" w:themeColor="text1" w:themeTint="F2"/>
          <w:sz w:val="24"/>
          <w:lang w:val="en-US" w:eastAsia="zh-CN"/>
        </w:rPr>
        <w:t>2型</w:t>
      </w:r>
      <w:r>
        <w:rPr>
          <w:rFonts w:ascii="Times New Roman" w:hAnsi="Times New Roman" w:eastAsia="宋体" w:cs="Times New Roman"/>
          <w:color w:val="0C0C0C" w:themeColor="text1" w:themeTint="F2"/>
          <w:sz w:val="24"/>
        </w:rPr>
        <w:t>糖尿病人血糖水平及住院时间的影响，探讨</w:t>
      </w:r>
      <w:r>
        <w:rPr>
          <w:rFonts w:hint="eastAsia" w:ascii="Times New Roman" w:hAnsi="Times New Roman" w:eastAsia="宋体" w:cs="Times New Roman"/>
          <w:color w:val="0C0C0C" w:themeColor="text1" w:themeTint="F2"/>
          <w:sz w:val="24"/>
        </w:rPr>
        <w:t>饮食干预（碳水化合物占比）对2型糖尿病患者的疾病控制与生活质量改善的意义及推广价值</w:t>
      </w:r>
      <w:r>
        <w:rPr>
          <w:rFonts w:ascii="Times New Roman" w:hAnsi="Times New Roman" w:eastAsia="宋体" w:cs="Times New Roman"/>
          <w:color w:val="0C0C0C" w:themeColor="text1" w:themeTint="F2"/>
          <w:sz w:val="24"/>
        </w:rPr>
        <w:t>。结果显示：本研究在保证三大营养素供给比的前提下，运用碳水化合物交换份法对患者每餐碳水化合物进食份数进行合理、固定的分配，计算出每日主食、蔬菜、蛋白质类食物的量，有助于调整患者餐后血糖。碳水化合物交换份法是一项可以使血糖管理变得简单易行且准确的饮食管理方法，配合药物治疗，可改善血糖水平，减少血糖波动，提升血糖达标率，同时缩短住院时间及减少治疗费用，具有一定的社会效益。</w:t>
      </w:r>
    </w:p>
    <w:p>
      <w:pPr>
        <w:spacing w:line="360" w:lineRule="auto"/>
        <w:ind w:firstLine="480" w:firstLineChars="200"/>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同时，本研究组依托本课题，探讨了</w:t>
      </w:r>
      <w:r>
        <w:rPr>
          <w:rFonts w:hint="eastAsia" w:ascii="Times New Roman" w:hAnsi="Times New Roman" w:eastAsia="宋体" w:cs="Times New Roman"/>
          <w:color w:val="0C0C0C" w:themeColor="text1" w:themeTint="F2"/>
          <w:sz w:val="24"/>
        </w:rPr>
        <w:t>饮食干预（碳水化合物占比）</w:t>
      </w:r>
      <w:r>
        <w:rPr>
          <w:rFonts w:hint="eastAsia" w:ascii="Times New Roman" w:hAnsi="Times New Roman" w:eastAsia="宋体" w:cs="Times New Roman"/>
          <w:color w:val="auto"/>
          <w:sz w:val="24"/>
          <w:lang w:val="en-US" w:eastAsia="zh-CN"/>
        </w:rPr>
        <w:t>在肥胖、非酒精性脂肪肝等疾病中的应用效果及整体膳食模式在中年人群糖尿病、肥胖及高血压等疾病中的作用。从饮食的角度，为慢性非传染性疾病的管理提供一定的科学依据。结果显示：（1）</w:t>
      </w:r>
      <w:r>
        <w:rPr>
          <w:rFonts w:hint="eastAsia" w:ascii="Times New Roman" w:hAnsi="Times New Roman" w:eastAsia="宋体" w:cs="Times New Roman"/>
          <w:color w:val="0C0C0C" w:themeColor="text1" w:themeTint="F2"/>
          <w:sz w:val="24"/>
        </w:rPr>
        <w:t>饮食干预（碳水化合物占比）</w:t>
      </w:r>
      <w:r>
        <w:rPr>
          <w:rFonts w:hint="eastAsia" w:ascii="Times New Roman" w:hAnsi="Times New Roman" w:eastAsia="宋体" w:cs="Times New Roman"/>
          <w:color w:val="auto"/>
          <w:sz w:val="24"/>
          <w:lang w:val="en-US" w:eastAsia="zh-CN"/>
        </w:rPr>
        <w:t>对2型糖尿病、非酒精性脂肪肝、肥胖等疾病具有较好的作用。（2）“西方型”或“动物性食物型”膳食模式可以增加肥胖、高血压及糖尿病的风险，而“传统中国型”或“谷物-蔬菜型”膳食模式可以降低风险。（3）本研究对解释我国近年来高血压、肥胖、糖尿病、动脉粥样硬化等慢性非传染性疾病在中年人群中高发有重要的意义，为指导疾病的预防和控制提供一新的视角。</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本项目目前共累计发表论文</w:t>
      </w:r>
      <w:r>
        <w:rPr>
          <w:rFonts w:hint="eastAsia" w:ascii="Times New Roman" w:hAnsi="Times New Roman" w:eastAsia="宋体" w:cs="Times New Roman"/>
          <w:color w:val="auto"/>
          <w:sz w:val="24"/>
          <w:lang w:val="en-US" w:eastAsia="zh-CN"/>
        </w:rPr>
        <w:t>27</w:t>
      </w:r>
      <w:r>
        <w:rPr>
          <w:rFonts w:hint="eastAsia" w:ascii="Times New Roman" w:hAnsi="Times New Roman" w:eastAsia="宋体" w:cs="Times New Roman"/>
          <w:color w:val="auto"/>
          <w:sz w:val="24"/>
        </w:rPr>
        <w:t>篇，其中SCI收录</w:t>
      </w:r>
      <w:r>
        <w:rPr>
          <w:rFonts w:hint="eastAsia" w:ascii="Times New Roman" w:hAnsi="Times New Roman" w:eastAsia="宋体" w:cs="Times New Roman"/>
          <w:color w:val="auto"/>
          <w:sz w:val="24"/>
          <w:lang w:val="en-US" w:eastAsia="zh-CN"/>
        </w:rPr>
        <w:t>17</w:t>
      </w:r>
      <w:r>
        <w:rPr>
          <w:rFonts w:hint="eastAsia" w:ascii="Times New Roman" w:hAnsi="Times New Roman" w:eastAsia="宋体" w:cs="Times New Roman"/>
          <w:color w:val="auto"/>
          <w:sz w:val="24"/>
        </w:rPr>
        <w:t>篇，</w:t>
      </w:r>
      <w:r>
        <w:rPr>
          <w:rFonts w:hint="default" w:ascii="Times New Roman" w:hAnsi="Times New Roman" w:eastAsia="宋体" w:cs="Times New Roman"/>
          <w:color w:val="auto"/>
          <w:sz w:val="24"/>
          <w:szCs w:val="24"/>
          <w:lang w:val="en-US" w:eastAsia="zh-CN"/>
        </w:rPr>
        <w:t>代表性论著10篇，其中</w:t>
      </w:r>
      <w:r>
        <w:rPr>
          <w:rFonts w:hint="default" w:ascii="Times New Roman" w:hAnsi="Times New Roman" w:eastAsia="宋体" w:cs="Times New Roman"/>
          <w:color w:val="auto"/>
          <w:sz w:val="24"/>
          <w:szCs w:val="24"/>
        </w:rPr>
        <w:t>SCI收录</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sz w:val="24"/>
          <w:szCs w:val="24"/>
        </w:rPr>
        <w:t>篇</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color w:val="auto"/>
          <w:sz w:val="24"/>
        </w:rPr>
        <w:t>主编副主编专著《老年人营养攻略》</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rPr>
        <w:t>《做自己的临床营养专家-老年篇》</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sz w:val="24"/>
          <w:szCs w:val="24"/>
          <w:lang w:eastAsia="zh-CN"/>
        </w:rPr>
        <w:t>培养浙江省医坛新秀</w:t>
      </w:r>
      <w:r>
        <w:rPr>
          <w:rFonts w:hint="eastAsia" w:ascii="Times New Roman" w:hAnsi="Times New Roman" w:eastAsia="宋体" w:cs="Times New Roman"/>
          <w:sz w:val="24"/>
          <w:szCs w:val="24"/>
          <w:lang w:val="en-US" w:eastAsia="zh-CN"/>
        </w:rPr>
        <w:t>1名，</w:t>
      </w:r>
      <w:r>
        <w:rPr>
          <w:rFonts w:hint="default" w:ascii="Times New Roman" w:hAnsi="Times New Roman" w:eastAsia="宋体" w:cs="Times New Roman"/>
          <w:sz w:val="24"/>
          <w:szCs w:val="24"/>
        </w:rPr>
        <w:t>培养</w:t>
      </w:r>
      <w:r>
        <w:rPr>
          <w:rFonts w:hint="eastAsia" w:ascii="Times New Roman" w:hAnsi="Times New Roman" w:eastAsia="宋体" w:cs="Times New Roman"/>
          <w:sz w:val="24"/>
          <w:szCs w:val="24"/>
          <w:lang w:eastAsia="zh-CN"/>
        </w:rPr>
        <w:t>院级</w:t>
      </w:r>
      <w:r>
        <w:rPr>
          <w:rFonts w:hint="eastAsia" w:ascii="Times New Roman" w:hAnsi="Times New Roman" w:eastAsia="宋体" w:cs="Times New Roman"/>
          <w:sz w:val="24"/>
          <w:szCs w:val="24"/>
          <w:lang w:val="en-US" w:eastAsia="zh-CN"/>
        </w:rPr>
        <w:t>3060人才1名，</w:t>
      </w:r>
      <w:r>
        <w:rPr>
          <w:rFonts w:hint="eastAsia" w:ascii="Times New Roman" w:hAnsi="Times New Roman" w:eastAsia="宋体" w:cs="Times New Roman"/>
          <w:color w:val="auto"/>
          <w:sz w:val="24"/>
        </w:rPr>
        <w:t>培养院级1530人才1名，晋升副高</w:t>
      </w:r>
      <w:r>
        <w:rPr>
          <w:rFonts w:hint="eastAsia" w:ascii="Times New Roman" w:hAnsi="Times New Roman" w:eastAsia="宋体" w:cs="Times New Roman"/>
          <w:color w:val="auto"/>
          <w:sz w:val="24"/>
          <w:lang w:val="en-US" w:eastAsia="zh-CN"/>
        </w:rPr>
        <w:t>3</w:t>
      </w:r>
      <w:r>
        <w:rPr>
          <w:rFonts w:hint="eastAsia" w:ascii="Times New Roman" w:hAnsi="Times New Roman" w:eastAsia="宋体" w:cs="Times New Roman"/>
          <w:color w:val="auto"/>
          <w:sz w:val="24"/>
        </w:rPr>
        <w:t>名，中级</w:t>
      </w:r>
      <w:r>
        <w:rPr>
          <w:rFonts w:hint="eastAsia" w:ascii="Times New Roman" w:hAnsi="Times New Roman" w:eastAsia="宋体" w:cs="Times New Roman"/>
          <w:color w:val="auto"/>
          <w:sz w:val="24"/>
          <w:lang w:val="en-US" w:eastAsia="zh-CN"/>
        </w:rPr>
        <w:t>4</w:t>
      </w:r>
      <w:r>
        <w:rPr>
          <w:rFonts w:hint="eastAsia" w:ascii="Times New Roman" w:hAnsi="Times New Roman" w:eastAsia="宋体" w:cs="Times New Roman"/>
          <w:color w:val="auto"/>
          <w:sz w:val="24"/>
        </w:rPr>
        <w:t>名。</w:t>
      </w:r>
    </w:p>
    <w:p>
      <w:pPr>
        <w:numPr>
          <w:ilvl w:val="0"/>
          <w:numId w:val="1"/>
        </w:numPr>
        <w:spacing w:line="360" w:lineRule="auto"/>
        <w:rPr>
          <w:rFonts w:ascii="Times New Roman" w:hAnsi="Times New Roman" w:eastAsia="宋体" w:cs="Times New Roman"/>
          <w:b/>
          <w:color w:val="0C0C0C" w:themeColor="text1" w:themeTint="F2"/>
          <w:sz w:val="24"/>
        </w:rPr>
      </w:pPr>
      <w:r>
        <w:rPr>
          <w:rFonts w:ascii="Times New Roman" w:hAnsi="Times New Roman" w:eastAsia="宋体" w:cs="Times New Roman"/>
          <w:b/>
          <w:color w:val="0C0C0C" w:themeColor="text1" w:themeTint="F2"/>
          <w:sz w:val="24"/>
        </w:rPr>
        <w:t>第三方评价</w:t>
      </w:r>
    </w:p>
    <w:p>
      <w:pPr>
        <w:spacing w:line="360" w:lineRule="auto"/>
        <w:ind w:firstLine="480" w:firstLineChars="200"/>
        <w:rPr>
          <w:rFonts w:ascii="Times New Roman" w:hAnsi="Times New Roman" w:eastAsia="宋体" w:cs="Times New Roman"/>
          <w:color w:val="0C0C0C" w:themeColor="text1" w:themeTint="F2"/>
          <w:sz w:val="24"/>
        </w:rPr>
      </w:pPr>
      <w:r>
        <w:rPr>
          <w:rFonts w:ascii="Times New Roman" w:hAnsi="Times New Roman" w:eastAsia="宋体" w:cs="Times New Roman"/>
          <w:color w:val="0C0C0C" w:themeColor="text1" w:themeTint="F2"/>
          <w:sz w:val="24"/>
        </w:rPr>
        <w:t>2017年10月 26日，浙江省卫计委组织专家对浙江医院郑培奋承担的省医药卫生省部培育项目</w:t>
      </w:r>
      <w:r>
        <w:rPr>
          <w:rFonts w:hint="eastAsia" w:ascii="Times New Roman" w:hAnsi="Times New Roman" w:eastAsia="宋体" w:cs="Times New Roman"/>
          <w:color w:val="0C0C0C" w:themeColor="text1" w:themeTint="F2"/>
          <w:sz w:val="24"/>
        </w:rPr>
        <w:t>“</w:t>
      </w:r>
      <w:r>
        <w:rPr>
          <w:rFonts w:ascii="Times New Roman" w:hAnsi="Times New Roman" w:eastAsia="宋体" w:cs="Times New Roman"/>
          <w:color w:val="0C0C0C" w:themeColor="text1" w:themeTint="F2"/>
          <w:sz w:val="24"/>
        </w:rPr>
        <w:t>碳水化合物交换份法在糖尿病饮食干预中应用研究</w:t>
      </w:r>
      <w:r>
        <w:rPr>
          <w:rFonts w:hint="eastAsia" w:ascii="Times New Roman" w:hAnsi="Times New Roman" w:eastAsia="宋体" w:cs="Times New Roman"/>
          <w:color w:val="0C0C0C" w:themeColor="text1" w:themeTint="F2"/>
          <w:sz w:val="24"/>
        </w:rPr>
        <w:t>”</w:t>
      </w:r>
      <w:r>
        <w:rPr>
          <w:rFonts w:ascii="Times New Roman" w:hAnsi="Times New Roman" w:eastAsia="宋体" w:cs="Times New Roman"/>
          <w:color w:val="0C0C0C" w:themeColor="text1" w:themeTint="F2"/>
          <w:sz w:val="24"/>
        </w:rPr>
        <w:t>（计划编号：2014PYA002）进行会议验收，形成如下意见：1、项目组提交的资料完整、规范，符合验收要求。2、该研究通过比较干预组和对照组血糖水平，结果显示：碳水化合物交换份法饮食干预可明显改善血糖控制，干预组患者血糖调整时间明显缩短，住院期间医疗费用明显低于对照组，具有一定的经济效益。3、项目已发表论文2篇。4、该项目总经费预算10万元，3万元为单位配套经费，7万元为自筹经费，实际支出8.04014万元，经费按规定合理使用。该项目已完成合同书规定的研究内容和技术指标，验收专家组一致同意通过验收。</w:t>
      </w:r>
    </w:p>
    <w:p>
      <w:pPr>
        <w:numPr>
          <w:ilvl w:val="0"/>
          <w:numId w:val="1"/>
        </w:numPr>
        <w:spacing w:line="360" w:lineRule="auto"/>
        <w:ind w:left="0" w:leftChars="0" w:firstLine="0" w:firstLineChars="0"/>
        <w:rPr>
          <w:rFonts w:hint="eastAsia" w:ascii="Times New Roman" w:hAnsi="Times New Roman" w:eastAsia="宋体" w:cs="Times New Roman"/>
          <w:b/>
          <w:bCs/>
          <w:color w:val="0C0C0C" w:themeColor="text1" w:themeTint="F2"/>
          <w:sz w:val="24"/>
          <w:lang w:val="en-US" w:eastAsia="zh-CN"/>
        </w:rPr>
      </w:pPr>
      <w:r>
        <w:rPr>
          <w:rFonts w:hint="eastAsia" w:ascii="Times New Roman" w:hAnsi="Times New Roman" w:eastAsia="宋体" w:cs="Times New Roman"/>
          <w:b/>
          <w:bCs/>
          <w:color w:val="0C0C0C" w:themeColor="text1" w:themeTint="F2"/>
          <w:sz w:val="24"/>
          <w:lang w:val="en-US" w:eastAsia="zh-CN"/>
        </w:rPr>
        <w:t>推广应用情况</w:t>
      </w:r>
    </w:p>
    <w:p>
      <w:pPr>
        <w:spacing w:line="500" w:lineRule="exact"/>
        <w:ind w:left="46" w:leftChars="22" w:firstLine="480" w:firstLineChars="200"/>
        <w:rPr>
          <w:rFonts w:hint="eastAsia" w:ascii="Times New Roman" w:hAnsi="Times New Roman" w:eastAsia="宋体" w:cs="Times New Roman"/>
          <w:color w:val="0C0C0C" w:themeColor="text1" w:themeTint="F2"/>
          <w:sz w:val="24"/>
          <w:lang w:val="en-US" w:eastAsia="zh-CN"/>
        </w:rPr>
      </w:pPr>
      <w:r>
        <w:rPr>
          <w:rFonts w:hint="eastAsia" w:ascii="宋体" w:hAnsi="宋体"/>
          <w:bCs/>
          <w:color w:val="000000"/>
          <w:sz w:val="24"/>
          <w:szCs w:val="32"/>
        </w:rPr>
        <w:t>该项目研究成果目前已在浙江医院、平湖市第一人民医院及安吉县人民医院进行推广应用，一致认为：碳水化合物交换份法饮食干预可以明显改善住院</w:t>
      </w:r>
      <w:r>
        <w:rPr>
          <w:rFonts w:ascii="宋体" w:hAnsi="宋体"/>
          <w:bCs/>
          <w:color w:val="000000"/>
          <w:sz w:val="24"/>
          <w:szCs w:val="32"/>
        </w:rPr>
        <w:t>2</w:t>
      </w:r>
      <w:r>
        <w:rPr>
          <w:rFonts w:hint="eastAsia" w:ascii="宋体" w:hAnsi="宋体"/>
          <w:bCs/>
          <w:color w:val="000000"/>
          <w:sz w:val="24"/>
          <w:szCs w:val="32"/>
        </w:rPr>
        <w:t>型</w:t>
      </w:r>
      <w:r>
        <w:rPr>
          <w:rFonts w:ascii="宋体" w:hAnsi="宋体"/>
          <w:bCs/>
          <w:color w:val="000000"/>
          <w:sz w:val="24"/>
          <w:szCs w:val="32"/>
        </w:rPr>
        <w:t>糖尿病</w:t>
      </w:r>
      <w:r>
        <w:rPr>
          <w:rFonts w:hint="eastAsia" w:ascii="宋体" w:hAnsi="宋体"/>
          <w:bCs/>
          <w:color w:val="000000"/>
          <w:sz w:val="24"/>
          <w:szCs w:val="32"/>
        </w:rPr>
        <w:t>患者的血糖及糖化血红蛋白水平，减少血糖波动，提高治疗达标率，同时可以降低其医疗费用，且患者依从性良好。该成果有望在更多医院进一步推广应用，配合临床治疗为糖尿病患者提供更好地诊疗方案。</w:t>
      </w:r>
    </w:p>
    <w:p>
      <w:pPr>
        <w:numPr>
          <w:ilvl w:val="0"/>
          <w:numId w:val="1"/>
        </w:numPr>
        <w:spacing w:line="360" w:lineRule="auto"/>
        <w:ind w:left="0" w:leftChars="0" w:firstLine="0" w:firstLineChars="0"/>
        <w:rPr>
          <w:rFonts w:hint="default" w:ascii="Times New Roman" w:hAnsi="Times New Roman" w:eastAsia="宋体" w:cs="Times New Roman"/>
          <w:b/>
          <w:bCs/>
          <w:color w:val="0C0C0C" w:themeColor="text1" w:themeTint="F2"/>
          <w:sz w:val="24"/>
          <w:lang w:val="en-US" w:eastAsia="zh-CN"/>
        </w:rPr>
      </w:pPr>
      <w:r>
        <w:rPr>
          <w:rFonts w:hint="eastAsia" w:ascii="Times New Roman" w:hAnsi="Times New Roman" w:eastAsia="宋体" w:cs="Times New Roman"/>
          <w:b/>
          <w:bCs/>
          <w:color w:val="0C0C0C" w:themeColor="text1" w:themeTint="F2"/>
          <w:sz w:val="24"/>
          <w:lang w:val="en-US" w:eastAsia="zh-CN"/>
        </w:rPr>
        <w:t>代表性论文专著目录</w:t>
      </w:r>
    </w:p>
    <w:p>
      <w:pPr>
        <w:numPr>
          <w:ilvl w:val="0"/>
          <w:numId w:val="2"/>
        </w:numPr>
        <w:spacing w:line="360" w:lineRule="auto"/>
        <w:rPr>
          <w:rFonts w:hint="eastAsia" w:ascii="Times New Roman" w:hAnsi="Times New Roman" w:eastAsia="宋体" w:cs="Times New Roman"/>
          <w:color w:val="0C0C0C" w:themeColor="text1" w:themeTint="F2"/>
          <w:sz w:val="24"/>
        </w:rPr>
      </w:pPr>
      <w:r>
        <w:rPr>
          <w:rFonts w:hint="eastAsia" w:ascii="Times New Roman" w:hAnsi="Times New Roman" w:eastAsia="宋体" w:cs="Times New Roman"/>
          <w:color w:val="0C0C0C" w:themeColor="text1" w:themeTint="F2"/>
          <w:sz w:val="24"/>
        </w:rPr>
        <w:t>Shen XM, Shu L, Huang YQ, Zhang XY, Zheng PF, Zhu Q. Association between dietary patterns and glycaemic control in a middle-aged Chinese population [published online ahead of print, 2021 Sep 12]. Public Health Nutr. 2021;1-9. doi:10.1017/S1368980021003931</w:t>
      </w:r>
    </w:p>
    <w:p>
      <w:pPr>
        <w:numPr>
          <w:ilvl w:val="0"/>
          <w:numId w:val="2"/>
        </w:numPr>
        <w:spacing w:line="360" w:lineRule="auto"/>
        <w:rPr>
          <w:rFonts w:hint="eastAsia" w:ascii="Times New Roman" w:hAnsi="Times New Roman" w:eastAsia="宋体" w:cs="Times New Roman"/>
          <w:color w:val="0C0C0C" w:themeColor="text1" w:themeTint="F2"/>
          <w:sz w:val="24"/>
          <w:lang w:val="en-US" w:eastAsia="zh-CN"/>
        </w:rPr>
      </w:pPr>
      <w:r>
        <w:rPr>
          <w:rFonts w:hint="eastAsia" w:ascii="Times New Roman" w:hAnsi="Times New Roman" w:eastAsia="宋体" w:cs="Times New Roman"/>
          <w:color w:val="0C0C0C" w:themeColor="text1" w:themeTint="F2"/>
          <w:sz w:val="24"/>
          <w:lang w:val="en-US" w:eastAsia="zh-CN"/>
        </w:rPr>
        <w:t>Jin F, Zhang J, Shu L, Han W. Association of dietary fiber intake with newly-diagnosed type 2 diabetes mellitus in middle-aged Chinese population. Nutr J. 2021;20(1):81.</w:t>
      </w:r>
    </w:p>
    <w:p>
      <w:pPr>
        <w:numPr>
          <w:ilvl w:val="0"/>
          <w:numId w:val="2"/>
        </w:numPr>
        <w:spacing w:line="360" w:lineRule="auto"/>
        <w:rPr>
          <w:rFonts w:hint="eastAsia" w:ascii="Times New Roman" w:hAnsi="Times New Roman" w:eastAsia="宋体" w:cs="Times New Roman"/>
          <w:color w:val="0C0C0C" w:themeColor="text1" w:themeTint="F2"/>
          <w:sz w:val="24"/>
          <w:lang w:val="en-US" w:eastAsia="zh-CN"/>
        </w:rPr>
      </w:pPr>
      <w:r>
        <w:rPr>
          <w:rFonts w:hint="eastAsia" w:ascii="Times New Roman" w:hAnsi="Times New Roman" w:eastAsia="宋体" w:cs="Times New Roman"/>
          <w:color w:val="0C0C0C" w:themeColor="text1" w:themeTint="F2"/>
          <w:sz w:val="24"/>
          <w:lang w:val="en-US" w:eastAsia="zh-CN"/>
        </w:rPr>
        <w:t>Shen XM, Huang YQ, Zhang XY, Tong XQ, Zheng PF, Shu L. Association between dietary patterns and prediabetes risk in a middle-aged Chinese population. Nutr J. 2020;19(1):77.</w:t>
      </w:r>
    </w:p>
    <w:p>
      <w:pPr>
        <w:numPr>
          <w:ilvl w:val="0"/>
          <w:numId w:val="2"/>
        </w:numPr>
        <w:spacing w:line="360" w:lineRule="auto"/>
        <w:rPr>
          <w:rFonts w:hint="eastAsia" w:ascii="Times New Roman" w:hAnsi="Times New Roman" w:eastAsia="宋体" w:cs="Times New Roman"/>
          <w:color w:val="0C0C0C" w:themeColor="text1" w:themeTint="F2"/>
          <w:sz w:val="24"/>
          <w:lang w:val="en-US" w:eastAsia="zh-CN"/>
        </w:rPr>
      </w:pPr>
      <w:r>
        <w:rPr>
          <w:rFonts w:hint="eastAsia" w:ascii="Times New Roman" w:hAnsi="Times New Roman" w:eastAsia="宋体" w:cs="Times New Roman"/>
          <w:color w:val="0C0C0C" w:themeColor="text1" w:themeTint="F2"/>
          <w:sz w:val="24"/>
          <w:lang w:val="en-US" w:eastAsia="zh-CN"/>
        </w:rPr>
        <w:t>Shu L, Shen XM, Li C, Zhang XY, Zheng PF. Dietary patterns are associated with type 2 diabetes mellitus among middle-aged adults in Zhejiang Province, China. Nutr J. 2017;16(1):81.</w:t>
      </w:r>
    </w:p>
    <w:p>
      <w:pPr>
        <w:numPr>
          <w:ilvl w:val="0"/>
          <w:numId w:val="2"/>
        </w:numPr>
        <w:spacing w:line="360" w:lineRule="auto"/>
        <w:rPr>
          <w:rFonts w:hint="eastAsia" w:ascii="Times New Roman" w:hAnsi="Times New Roman" w:eastAsia="宋体" w:cs="Times New Roman"/>
          <w:color w:val="0C0C0C" w:themeColor="text1" w:themeTint="F2"/>
          <w:sz w:val="24"/>
          <w:lang w:val="en-US" w:eastAsia="zh-CN"/>
        </w:rPr>
      </w:pPr>
      <w:r>
        <w:rPr>
          <w:rFonts w:hint="eastAsia" w:ascii="Times New Roman" w:hAnsi="Times New Roman" w:eastAsia="宋体" w:cs="Times New Roman"/>
          <w:color w:val="0C0C0C" w:themeColor="text1" w:themeTint="F2"/>
          <w:sz w:val="24"/>
          <w:lang w:val="en-US" w:eastAsia="zh-CN"/>
        </w:rPr>
        <w:t>周建英,黄益倩,沈晓明,束龙,章小艳,郑培奋.碳水化合物交换份法饮食干预对新发糖耐量异常患者的疗效[J].浙江医学,2021,43(1): 60-63.</w:t>
      </w:r>
    </w:p>
    <w:p>
      <w:pPr>
        <w:numPr>
          <w:ilvl w:val="0"/>
          <w:numId w:val="2"/>
        </w:numPr>
        <w:spacing w:line="360" w:lineRule="auto"/>
        <w:rPr>
          <w:rFonts w:hint="eastAsia" w:ascii="Times New Roman" w:hAnsi="Times New Roman" w:eastAsia="宋体" w:cs="Times New Roman"/>
          <w:color w:val="0C0C0C" w:themeColor="text1" w:themeTint="F2"/>
          <w:sz w:val="24"/>
          <w:lang w:val="en-US" w:eastAsia="zh-CN"/>
        </w:rPr>
      </w:pPr>
      <w:r>
        <w:rPr>
          <w:rFonts w:hint="eastAsia" w:ascii="Times New Roman" w:hAnsi="Times New Roman" w:eastAsia="宋体" w:cs="Times New Roman"/>
          <w:color w:val="0C0C0C" w:themeColor="text1" w:themeTint="F2"/>
          <w:sz w:val="24"/>
          <w:lang w:val="en-US" w:eastAsia="zh-CN"/>
        </w:rPr>
        <w:t>王卫光,安琳琳,章小艳,童晓清,斯彩娟,余小龙,束龙,郑培奋.基于碳水化合物计数法的低蛋白饮食对早期糖尿病肾病疗效[J].医学研究杂志, 2020, 49(5), 132 -135.</w:t>
      </w:r>
    </w:p>
    <w:p>
      <w:pPr>
        <w:numPr>
          <w:ilvl w:val="0"/>
          <w:numId w:val="2"/>
        </w:numPr>
        <w:spacing w:line="360" w:lineRule="auto"/>
        <w:rPr>
          <w:rFonts w:hint="eastAsia" w:ascii="Times New Roman" w:hAnsi="Times New Roman" w:eastAsia="宋体" w:cs="Times New Roman"/>
          <w:color w:val="0C0C0C" w:themeColor="text1" w:themeTint="F2"/>
          <w:sz w:val="24"/>
          <w:lang w:val="en-US" w:eastAsia="zh-CN"/>
        </w:rPr>
      </w:pPr>
      <w:r>
        <w:rPr>
          <w:rFonts w:hint="eastAsia" w:ascii="Times New Roman" w:hAnsi="Times New Roman" w:eastAsia="宋体" w:cs="Times New Roman"/>
          <w:color w:val="0C0C0C" w:themeColor="text1" w:themeTint="F2"/>
          <w:sz w:val="24"/>
          <w:lang w:val="en-US" w:eastAsia="zh-CN"/>
        </w:rPr>
        <w:t>王卫光，章小艳，斯彩娟，廖丹，余小龙，束龙，张伦，郑培奋.碳水化合物计数法对糖尿病合并非酒精性脂肪肝患者的疗效观察[J].中华全科医学, 2019, 17(6): 981-983.1017.</w:t>
      </w:r>
    </w:p>
    <w:p>
      <w:pPr>
        <w:numPr>
          <w:ilvl w:val="0"/>
          <w:numId w:val="2"/>
        </w:numPr>
        <w:spacing w:line="360" w:lineRule="auto"/>
        <w:rPr>
          <w:rFonts w:hint="eastAsia" w:ascii="Times New Roman" w:hAnsi="Times New Roman" w:eastAsia="宋体" w:cs="Times New Roman"/>
          <w:color w:val="0C0C0C" w:themeColor="text1" w:themeTint="F2"/>
          <w:sz w:val="24"/>
          <w:lang w:val="en-US" w:eastAsia="zh-CN"/>
        </w:rPr>
      </w:pPr>
      <w:r>
        <w:rPr>
          <w:rFonts w:hint="eastAsia" w:ascii="Times New Roman" w:hAnsi="Times New Roman" w:eastAsia="宋体" w:cs="Times New Roman"/>
          <w:color w:val="0C0C0C" w:themeColor="text1" w:themeTint="F2"/>
          <w:sz w:val="24"/>
          <w:lang w:val="en-US" w:eastAsia="zh-CN"/>
        </w:rPr>
        <w:t>束龙, 郑培奋, 章小艳, 童晓清, 斯彩娟, 余小龙, 廖丹, 王卫光, 张伦. 碳水化合物交换份法饮食干预对2型糖尿病合并高尿酸血症患者的疗效观察[J].医学研究杂志, 2019,48(7):68-71.</w:t>
      </w:r>
    </w:p>
    <w:p>
      <w:pPr>
        <w:numPr>
          <w:ilvl w:val="0"/>
          <w:numId w:val="2"/>
        </w:numPr>
        <w:spacing w:line="360" w:lineRule="auto"/>
        <w:rPr>
          <w:rFonts w:hint="eastAsia" w:ascii="Times New Roman" w:hAnsi="Times New Roman" w:eastAsia="宋体" w:cs="Times New Roman"/>
          <w:color w:val="0C0C0C" w:themeColor="text1" w:themeTint="F2"/>
          <w:sz w:val="24"/>
          <w:lang w:val="en-US" w:eastAsia="zh-CN"/>
        </w:rPr>
      </w:pPr>
      <w:r>
        <w:rPr>
          <w:rFonts w:hint="eastAsia" w:ascii="Times New Roman" w:hAnsi="Times New Roman" w:eastAsia="宋体" w:cs="Times New Roman"/>
          <w:color w:val="0C0C0C" w:themeColor="text1" w:themeTint="F2"/>
          <w:sz w:val="24"/>
          <w:lang w:val="en-US" w:eastAsia="zh-CN"/>
        </w:rPr>
        <w:t xml:space="preserve"> 郑培奋，束龙，章小艳，斯彩娟, 余小龙, 张伦, 廖丹, 王卫光.碳水化合物交换份法饮食干预对2型糖尿病患者疗效的影响[J]. 中国慢性病预防与控制, 2017, 25(5):349-351.</w:t>
      </w:r>
    </w:p>
    <w:p>
      <w:pPr>
        <w:numPr>
          <w:ilvl w:val="0"/>
          <w:numId w:val="0"/>
        </w:numPr>
        <w:spacing w:line="360" w:lineRule="auto"/>
        <w:rPr>
          <w:rFonts w:hint="default" w:ascii="Times New Roman" w:hAnsi="Times New Roman" w:eastAsia="宋体" w:cs="Times New Roman"/>
          <w:color w:val="0C0C0C" w:themeColor="text1" w:themeTint="F2"/>
          <w:sz w:val="24"/>
          <w:lang w:val="en-US" w:eastAsia="zh-CN"/>
        </w:rPr>
      </w:pPr>
      <w:r>
        <w:rPr>
          <w:rFonts w:hint="eastAsia" w:ascii="Times New Roman" w:hAnsi="Times New Roman" w:eastAsia="宋体" w:cs="Times New Roman"/>
          <w:color w:val="0C0C0C" w:themeColor="text1" w:themeTint="F2"/>
          <w:sz w:val="24"/>
          <w:lang w:val="en-US" w:eastAsia="zh-CN"/>
        </w:rPr>
        <w:t>[10]. 张伦, 束龙, 章小艳, 斯彩娟, 余小龙, 廖丹, 王卫光, 郑培奋.碳水化合物交换份法饮食干预对2型糖尿病合并超重及肥胖患者疗效分析[J].医学研究杂志，2017,46(11):72-75</w:t>
      </w:r>
    </w:p>
    <w:p>
      <w:pPr>
        <w:numPr>
          <w:ilvl w:val="0"/>
          <w:numId w:val="1"/>
        </w:numPr>
        <w:spacing w:line="360" w:lineRule="auto"/>
        <w:ind w:left="0" w:leftChars="0" w:firstLine="0" w:firstLineChars="0"/>
        <w:rPr>
          <w:rFonts w:hint="eastAsia" w:ascii="Times New Roman" w:hAnsi="Times New Roman" w:eastAsia="宋体" w:cs="Times New Roman"/>
          <w:b/>
          <w:bCs/>
          <w:color w:val="0C0C0C" w:themeColor="text1" w:themeTint="F2"/>
          <w:sz w:val="24"/>
          <w:lang w:val="en-US" w:eastAsia="zh-CN"/>
        </w:rPr>
      </w:pPr>
      <w:r>
        <w:rPr>
          <w:rFonts w:hint="eastAsia" w:ascii="Times New Roman" w:hAnsi="Times New Roman" w:eastAsia="宋体" w:cs="Times New Roman"/>
          <w:b/>
          <w:bCs/>
          <w:color w:val="0C0C0C" w:themeColor="text1" w:themeTint="F2"/>
          <w:sz w:val="24"/>
          <w:lang w:val="en-US" w:eastAsia="zh-CN"/>
        </w:rPr>
        <w:t>代表性著作</w:t>
      </w:r>
    </w:p>
    <w:p>
      <w:pPr>
        <w:numPr>
          <w:ilvl w:val="0"/>
          <w:numId w:val="3"/>
        </w:numPr>
        <w:spacing w:line="360" w:lineRule="auto"/>
        <w:ind w:leftChars="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《老年人营养攻略》</w:t>
      </w:r>
    </w:p>
    <w:p>
      <w:pPr>
        <w:numPr>
          <w:ilvl w:val="0"/>
          <w:numId w:val="3"/>
        </w:numPr>
        <w:spacing w:line="360" w:lineRule="auto"/>
        <w:ind w:leftChars="0"/>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rPr>
        <w:t>《做自己的临床营养专家-老年篇》</w:t>
      </w:r>
    </w:p>
    <w:p>
      <w:pPr>
        <w:numPr>
          <w:ilvl w:val="0"/>
          <w:numId w:val="1"/>
        </w:numPr>
        <w:spacing w:line="360" w:lineRule="auto"/>
        <w:rPr>
          <w:rFonts w:ascii="Times New Roman" w:hAnsi="Times New Roman" w:eastAsia="宋体" w:cs="Times New Roman"/>
          <w:b/>
          <w:color w:val="0C0C0C" w:themeColor="text1" w:themeTint="F2"/>
          <w:sz w:val="24"/>
        </w:rPr>
      </w:pPr>
      <w:r>
        <w:rPr>
          <w:rFonts w:ascii="Times New Roman" w:hAnsi="Times New Roman" w:eastAsia="宋体" w:cs="Times New Roman"/>
          <w:b/>
          <w:color w:val="0C0C0C" w:themeColor="text1" w:themeTint="F2"/>
          <w:sz w:val="24"/>
        </w:rPr>
        <w:t>主要完成人</w:t>
      </w:r>
    </w:p>
    <w:p>
      <w:pPr>
        <w:spacing w:line="360" w:lineRule="auto"/>
        <w:rPr>
          <w:rFonts w:ascii="Times New Roman" w:hAnsi="Times New Roman" w:eastAsia="宋体" w:cs="Times New Roman"/>
          <w:color w:val="0C0C0C" w:themeColor="text1" w:themeTint="F2"/>
          <w:sz w:val="24"/>
        </w:rPr>
      </w:pPr>
      <w:r>
        <w:rPr>
          <w:rFonts w:ascii="Times New Roman" w:hAnsi="Times New Roman" w:eastAsia="宋体" w:cs="Times New Roman"/>
          <w:bCs/>
          <w:color w:val="0C0C0C" w:themeColor="text1" w:themeTint="F2"/>
          <w:sz w:val="24"/>
        </w:rPr>
        <w:t>第一位：郑培奋，主任医师，</w:t>
      </w:r>
      <w:r>
        <w:rPr>
          <w:rFonts w:hint="eastAsia" w:ascii="Times New Roman" w:hAnsi="Times New Roman" w:eastAsia="宋体" w:cs="Times New Roman"/>
          <w:bCs/>
          <w:color w:val="0C0C0C" w:themeColor="text1" w:themeTint="F2"/>
          <w:sz w:val="24"/>
          <w:lang w:eastAsia="zh-CN"/>
        </w:rPr>
        <w:t>浙江医院，</w:t>
      </w:r>
      <w:r>
        <w:rPr>
          <w:rFonts w:ascii="Times New Roman" w:hAnsi="Times New Roman" w:eastAsia="宋体" w:cs="Times New Roman"/>
          <w:color w:val="0C0C0C" w:themeColor="text1" w:themeTint="F2"/>
          <w:sz w:val="24"/>
        </w:rPr>
        <w:t>作为项目牵头人和总负责，对项目的整体把控，项目的顺利进展及项目完成验收具重要贡献。</w:t>
      </w:r>
    </w:p>
    <w:p>
      <w:pPr>
        <w:spacing w:line="360" w:lineRule="auto"/>
        <w:rPr>
          <w:rFonts w:ascii="Times New Roman" w:hAnsi="Times New Roman" w:eastAsia="宋体" w:cs="Times New Roman"/>
          <w:color w:val="0C0C0C" w:themeColor="text1" w:themeTint="F2"/>
          <w:sz w:val="24"/>
        </w:rPr>
      </w:pPr>
      <w:r>
        <w:rPr>
          <w:rFonts w:ascii="Times New Roman" w:hAnsi="Times New Roman" w:eastAsia="宋体" w:cs="Times New Roman"/>
          <w:color w:val="0C0C0C" w:themeColor="text1" w:themeTint="F2"/>
          <w:sz w:val="24"/>
        </w:rPr>
        <w:t>第</w:t>
      </w:r>
      <w:r>
        <w:rPr>
          <w:rFonts w:hint="eastAsia" w:ascii="Times New Roman" w:hAnsi="Times New Roman" w:eastAsia="宋体" w:cs="Times New Roman"/>
          <w:color w:val="0C0C0C" w:themeColor="text1" w:themeTint="F2"/>
          <w:sz w:val="24"/>
          <w:lang w:eastAsia="zh-CN"/>
        </w:rPr>
        <w:t>二</w:t>
      </w:r>
      <w:r>
        <w:rPr>
          <w:rFonts w:ascii="Times New Roman" w:hAnsi="Times New Roman" w:eastAsia="宋体" w:cs="Times New Roman"/>
          <w:color w:val="0C0C0C" w:themeColor="text1" w:themeTint="F2"/>
          <w:sz w:val="24"/>
        </w:rPr>
        <w:t>位：束龙，</w:t>
      </w:r>
      <w:r>
        <w:rPr>
          <w:rFonts w:hint="eastAsia" w:ascii="Times New Roman" w:hAnsi="Times New Roman" w:eastAsia="宋体" w:cs="Times New Roman"/>
          <w:color w:val="0C0C0C" w:themeColor="text1" w:themeTint="F2"/>
          <w:sz w:val="24"/>
          <w:lang w:eastAsia="zh-CN"/>
        </w:rPr>
        <w:t>主管</w:t>
      </w:r>
      <w:r>
        <w:rPr>
          <w:rFonts w:ascii="Times New Roman" w:hAnsi="Times New Roman" w:eastAsia="宋体" w:cs="Times New Roman"/>
          <w:color w:val="0C0C0C" w:themeColor="text1" w:themeTint="F2"/>
          <w:sz w:val="24"/>
        </w:rPr>
        <w:t>医师，</w:t>
      </w:r>
      <w:r>
        <w:rPr>
          <w:rFonts w:hint="eastAsia" w:ascii="Times New Roman" w:hAnsi="Times New Roman" w:eastAsia="宋体" w:cs="Times New Roman"/>
          <w:color w:val="0C0C0C" w:themeColor="text1" w:themeTint="F2"/>
          <w:sz w:val="24"/>
          <w:lang w:eastAsia="zh-CN"/>
        </w:rPr>
        <w:t>浙江医院，</w:t>
      </w:r>
      <w:r>
        <w:rPr>
          <w:rFonts w:ascii="Times New Roman" w:hAnsi="Times New Roman" w:eastAsia="宋体" w:cs="Times New Roman"/>
          <w:color w:val="0C0C0C" w:themeColor="text1" w:themeTint="F2"/>
          <w:sz w:val="24"/>
        </w:rPr>
        <w:t>作为项目主要完成人，在文章撰写及数据统计方面作出较大贡献。</w:t>
      </w:r>
    </w:p>
    <w:p>
      <w:pPr>
        <w:spacing w:line="360" w:lineRule="auto"/>
        <w:rPr>
          <w:rFonts w:ascii="Times New Roman" w:hAnsi="Times New Roman" w:eastAsia="宋体" w:cs="Times New Roman"/>
          <w:color w:val="0C0C0C" w:themeColor="text1" w:themeTint="F2"/>
          <w:sz w:val="24"/>
        </w:rPr>
      </w:pPr>
      <w:r>
        <w:rPr>
          <w:rFonts w:ascii="Times New Roman" w:hAnsi="Times New Roman" w:eastAsia="宋体" w:cs="Times New Roman"/>
          <w:color w:val="0C0C0C" w:themeColor="text1" w:themeTint="F2"/>
          <w:sz w:val="24"/>
        </w:rPr>
        <w:t>第</w:t>
      </w:r>
      <w:r>
        <w:rPr>
          <w:rFonts w:hint="eastAsia" w:ascii="Times New Roman" w:hAnsi="Times New Roman" w:eastAsia="宋体" w:cs="Times New Roman"/>
          <w:color w:val="0C0C0C" w:themeColor="text1" w:themeTint="F2"/>
          <w:sz w:val="24"/>
          <w:lang w:eastAsia="zh-CN"/>
        </w:rPr>
        <w:t>三</w:t>
      </w:r>
      <w:r>
        <w:rPr>
          <w:rFonts w:ascii="Times New Roman" w:hAnsi="Times New Roman" w:eastAsia="宋体" w:cs="Times New Roman"/>
          <w:color w:val="0C0C0C" w:themeColor="text1" w:themeTint="F2"/>
          <w:sz w:val="24"/>
        </w:rPr>
        <w:t>位：王卫光，</w:t>
      </w:r>
      <w:r>
        <w:rPr>
          <w:rFonts w:hint="eastAsia" w:ascii="Times New Roman" w:hAnsi="Times New Roman" w:eastAsia="宋体" w:cs="Times New Roman"/>
          <w:color w:val="0C0C0C" w:themeColor="text1" w:themeTint="F2"/>
          <w:sz w:val="24"/>
          <w:lang w:eastAsia="zh-CN"/>
        </w:rPr>
        <w:t>主管</w:t>
      </w:r>
      <w:r>
        <w:rPr>
          <w:rFonts w:ascii="Times New Roman" w:hAnsi="Times New Roman" w:eastAsia="宋体" w:cs="Times New Roman"/>
          <w:color w:val="0C0C0C" w:themeColor="text1" w:themeTint="F2"/>
          <w:sz w:val="24"/>
        </w:rPr>
        <w:t>医师，</w:t>
      </w:r>
      <w:r>
        <w:rPr>
          <w:rFonts w:hint="eastAsia" w:ascii="Times New Roman" w:hAnsi="Times New Roman" w:eastAsia="宋体" w:cs="Times New Roman"/>
          <w:color w:val="0C0C0C" w:themeColor="text1" w:themeTint="F2"/>
          <w:sz w:val="24"/>
          <w:lang w:eastAsia="zh-CN"/>
        </w:rPr>
        <w:t>浙江医院</w:t>
      </w:r>
      <w:r>
        <w:rPr>
          <w:rFonts w:ascii="Times New Roman" w:hAnsi="Times New Roman" w:eastAsia="宋体" w:cs="Times New Roman"/>
          <w:color w:val="0C0C0C" w:themeColor="text1" w:themeTint="F2"/>
          <w:sz w:val="24"/>
        </w:rPr>
        <w:t>，作为项目主要完成人，在数据录入、数据统计及文章撰写等方面做出较大贡献。</w:t>
      </w:r>
    </w:p>
    <w:p>
      <w:pPr>
        <w:spacing w:line="360" w:lineRule="auto"/>
        <w:rPr>
          <w:rFonts w:ascii="Times New Roman" w:hAnsi="Times New Roman" w:eastAsia="宋体" w:cs="Times New Roman"/>
          <w:color w:val="0C0C0C" w:themeColor="text1" w:themeTint="F2"/>
          <w:sz w:val="24"/>
        </w:rPr>
      </w:pPr>
      <w:r>
        <w:rPr>
          <w:rFonts w:hint="eastAsia" w:ascii="Times New Roman" w:hAnsi="Times New Roman" w:eastAsia="宋体" w:cs="Times New Roman"/>
          <w:color w:val="0C0C0C" w:themeColor="text1" w:themeTint="F2"/>
          <w:sz w:val="24"/>
          <w:lang w:eastAsia="zh-CN"/>
        </w:rPr>
        <w:t>第四位：朱琴，副主任医师，浙江医院，</w:t>
      </w:r>
      <w:r>
        <w:rPr>
          <w:rFonts w:ascii="Times New Roman" w:hAnsi="Times New Roman" w:eastAsia="宋体" w:cs="Times New Roman"/>
          <w:color w:val="0C0C0C" w:themeColor="text1" w:themeTint="F2"/>
          <w:sz w:val="24"/>
        </w:rPr>
        <w:t>作为项目主要完成人，在数据录入、数据统计及文章撰写等方面做出较大贡献。</w:t>
      </w:r>
    </w:p>
    <w:p>
      <w:pPr>
        <w:spacing w:line="360" w:lineRule="auto"/>
        <w:rPr>
          <w:rFonts w:hint="default"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eastAsia="zh-CN" w:bidi="ar"/>
        </w:rPr>
        <w:t>第五位：</w:t>
      </w:r>
      <w:r>
        <w:rPr>
          <w:rFonts w:hint="default" w:ascii="Times New Roman" w:hAnsi="Times New Roman" w:eastAsia="宋体" w:cs="Times New Roman"/>
          <w:color w:val="000000"/>
          <w:kern w:val="0"/>
          <w:sz w:val="24"/>
          <w:szCs w:val="24"/>
          <w:lang w:eastAsia="zh-CN" w:bidi="ar"/>
        </w:rPr>
        <w:t>周锋，</w:t>
      </w:r>
      <w:r>
        <w:rPr>
          <w:rFonts w:hint="default" w:ascii="Times New Roman" w:hAnsi="Times New Roman" w:eastAsia="宋体" w:cs="Times New Roman"/>
          <w:color w:val="000000"/>
          <w:kern w:val="0"/>
          <w:sz w:val="24"/>
          <w:szCs w:val="24"/>
          <w:lang w:val="en-US" w:eastAsia="zh-CN" w:bidi="ar"/>
        </w:rPr>
        <w:t>主治医师，浙江医院</w:t>
      </w:r>
      <w:r>
        <w:rPr>
          <w:rFonts w:hint="eastAsia" w:ascii="Times New Roman" w:hAnsi="Times New Roman" w:eastAsia="宋体" w:cs="Times New Roman"/>
          <w:color w:val="000000"/>
          <w:kern w:val="0"/>
          <w:sz w:val="24"/>
          <w:szCs w:val="24"/>
          <w:lang w:val="en-US" w:eastAsia="zh-CN" w:bidi="ar"/>
        </w:rPr>
        <w:t>，</w:t>
      </w:r>
      <w:r>
        <w:rPr>
          <w:rFonts w:ascii="Times New Roman" w:hAnsi="Times New Roman" w:eastAsia="宋体" w:cs="Times New Roman"/>
          <w:color w:val="0C0C0C" w:themeColor="text1" w:themeTint="F2"/>
          <w:sz w:val="24"/>
        </w:rPr>
        <w:t>作为项目主要完成人，在数据录入、数据统计及文章撰写等方面做出较大贡献。</w:t>
      </w:r>
    </w:p>
    <w:p>
      <w:pPr>
        <w:spacing w:line="360" w:lineRule="auto"/>
        <w:rPr>
          <w:rFonts w:ascii="Times New Roman" w:hAnsi="Times New Roman" w:eastAsia="宋体" w:cs="Times New Roman"/>
          <w:color w:val="0C0C0C" w:themeColor="text1" w:themeTint="F2"/>
          <w:sz w:val="24"/>
        </w:rPr>
      </w:pPr>
      <w:r>
        <w:rPr>
          <w:rFonts w:hint="eastAsia" w:ascii="Times New Roman" w:hAnsi="Times New Roman" w:eastAsia="宋体" w:cs="Times New Roman"/>
          <w:color w:val="000000"/>
          <w:kern w:val="0"/>
          <w:sz w:val="24"/>
          <w:szCs w:val="24"/>
          <w:lang w:val="en-US" w:eastAsia="zh-CN" w:bidi="ar"/>
        </w:rPr>
        <w:t>第六位：</w:t>
      </w:r>
      <w:r>
        <w:rPr>
          <w:rFonts w:hint="default" w:ascii="Times New Roman" w:hAnsi="Times New Roman" w:eastAsia="宋体" w:cs="Times New Roman"/>
          <w:color w:val="000000"/>
          <w:kern w:val="0"/>
          <w:sz w:val="24"/>
          <w:szCs w:val="24"/>
          <w:lang w:val="en-US" w:eastAsia="zh-CN" w:bidi="ar"/>
        </w:rPr>
        <w:t>斯彩娟，副主任技师，浙江医院</w:t>
      </w:r>
      <w:r>
        <w:rPr>
          <w:rFonts w:hint="eastAsia" w:ascii="Times New Roman" w:hAnsi="Times New Roman" w:eastAsia="宋体" w:cs="Times New Roman"/>
          <w:color w:val="000000"/>
          <w:kern w:val="0"/>
          <w:sz w:val="24"/>
          <w:szCs w:val="24"/>
          <w:lang w:val="en-US" w:eastAsia="zh-CN" w:bidi="ar"/>
        </w:rPr>
        <w:t>，</w:t>
      </w:r>
      <w:r>
        <w:rPr>
          <w:rFonts w:ascii="Times New Roman" w:hAnsi="Times New Roman" w:eastAsia="宋体" w:cs="Times New Roman"/>
          <w:color w:val="0C0C0C" w:themeColor="text1" w:themeTint="F2"/>
          <w:sz w:val="24"/>
        </w:rPr>
        <w:t>作为项目主要完成人，在数据录入、数据统计及文章撰写等方面做出较大贡献。</w:t>
      </w:r>
    </w:p>
    <w:p>
      <w:pPr>
        <w:spacing w:line="360" w:lineRule="auto"/>
        <w:rPr>
          <w:rFonts w:ascii="Times New Roman" w:hAnsi="Times New Roman" w:eastAsia="宋体" w:cs="Times New Roman"/>
          <w:color w:val="0C0C0C" w:themeColor="text1" w:themeTint="F2"/>
          <w:sz w:val="24"/>
        </w:rPr>
      </w:pPr>
      <w:r>
        <w:rPr>
          <w:rFonts w:hint="eastAsia" w:ascii="Times New Roman" w:hAnsi="Times New Roman" w:eastAsia="宋体" w:cs="Times New Roman"/>
          <w:color w:val="0C0C0C" w:themeColor="text1" w:themeTint="F2"/>
          <w:sz w:val="24"/>
        </w:rPr>
        <w:t>第</w:t>
      </w:r>
      <w:r>
        <w:rPr>
          <w:rFonts w:hint="eastAsia" w:ascii="Times New Roman" w:hAnsi="Times New Roman" w:eastAsia="宋体" w:cs="Times New Roman"/>
          <w:color w:val="0C0C0C" w:themeColor="text1" w:themeTint="F2"/>
          <w:sz w:val="24"/>
          <w:lang w:eastAsia="zh-CN"/>
        </w:rPr>
        <w:t>七</w:t>
      </w:r>
      <w:r>
        <w:rPr>
          <w:rFonts w:hint="eastAsia" w:ascii="Times New Roman" w:hAnsi="Times New Roman" w:eastAsia="宋体" w:cs="Times New Roman"/>
          <w:color w:val="0C0C0C" w:themeColor="text1" w:themeTint="F2"/>
          <w:sz w:val="24"/>
        </w:rPr>
        <w:t>位</w:t>
      </w:r>
      <w:r>
        <w:rPr>
          <w:rFonts w:ascii="Times New Roman" w:hAnsi="Times New Roman" w:eastAsia="宋体" w:cs="Times New Roman"/>
          <w:color w:val="0C0C0C" w:themeColor="text1" w:themeTint="F2"/>
          <w:sz w:val="24"/>
        </w:rPr>
        <w:t>：沈晓明</w:t>
      </w:r>
      <w:r>
        <w:rPr>
          <w:rFonts w:hint="eastAsia" w:ascii="Times New Roman" w:hAnsi="Times New Roman" w:eastAsia="宋体" w:cs="Times New Roman"/>
          <w:color w:val="0C0C0C" w:themeColor="text1" w:themeTint="F2"/>
          <w:sz w:val="24"/>
        </w:rPr>
        <w:t>，主任医师，平湖市第一人民医院，作为项目主要完成人，在开展过程中病例收集及随访和项目后期推广应用方面给予大力支持。</w:t>
      </w:r>
    </w:p>
    <w:p>
      <w:pPr>
        <w:spacing w:line="360" w:lineRule="auto"/>
        <w:rPr>
          <w:rFonts w:hint="eastAsia" w:ascii="Times New Roman" w:hAnsi="Times New Roman" w:eastAsia="宋体" w:cs="Times New Roman"/>
          <w:color w:val="0C0C0C" w:themeColor="text1" w:themeTint="F2"/>
          <w:sz w:val="24"/>
        </w:rPr>
      </w:pPr>
      <w:r>
        <w:rPr>
          <w:rFonts w:hint="eastAsia" w:ascii="Times New Roman" w:hAnsi="Times New Roman" w:eastAsia="宋体" w:cs="Times New Roman"/>
          <w:color w:val="0C0C0C" w:themeColor="text1" w:themeTint="F2"/>
          <w:sz w:val="24"/>
        </w:rPr>
        <w:t>第</w:t>
      </w:r>
      <w:r>
        <w:rPr>
          <w:rFonts w:hint="eastAsia" w:ascii="Times New Roman" w:hAnsi="Times New Roman" w:eastAsia="宋体" w:cs="Times New Roman"/>
          <w:color w:val="0C0C0C" w:themeColor="text1" w:themeTint="F2"/>
          <w:sz w:val="24"/>
          <w:lang w:eastAsia="zh-CN"/>
        </w:rPr>
        <w:t>八</w:t>
      </w:r>
      <w:r>
        <w:rPr>
          <w:rFonts w:hint="eastAsia" w:ascii="Times New Roman" w:hAnsi="Times New Roman" w:eastAsia="宋体" w:cs="Times New Roman"/>
          <w:color w:val="0C0C0C" w:themeColor="text1" w:themeTint="F2"/>
          <w:sz w:val="24"/>
        </w:rPr>
        <w:t>位：</w:t>
      </w:r>
      <w:r>
        <w:rPr>
          <w:rFonts w:hint="eastAsia" w:ascii="Times New Roman" w:hAnsi="Times New Roman" w:eastAsia="宋体" w:cs="Times New Roman"/>
          <w:color w:val="auto"/>
          <w:sz w:val="24"/>
          <w:lang w:eastAsia="zh-CN"/>
        </w:rPr>
        <w:t>孙春芳</w:t>
      </w:r>
      <w:r>
        <w:rPr>
          <w:rFonts w:hint="eastAsia"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主管护师</w:t>
      </w:r>
      <w:r>
        <w:rPr>
          <w:rFonts w:hint="eastAsia" w:ascii="Times New Roman" w:hAnsi="Times New Roman" w:eastAsia="宋体" w:cs="Times New Roman"/>
          <w:color w:val="auto"/>
          <w:sz w:val="24"/>
        </w:rPr>
        <w:t>，</w:t>
      </w:r>
      <w:r>
        <w:rPr>
          <w:rFonts w:hint="eastAsia" w:ascii="Times New Roman" w:hAnsi="Times New Roman" w:eastAsia="宋体" w:cs="Times New Roman"/>
          <w:color w:val="0C0C0C" w:themeColor="text1" w:themeTint="F2"/>
          <w:sz w:val="24"/>
        </w:rPr>
        <w:t>安吉县人民医院，作为项目主要完成人，在项目申报及项目后期推广应用方面给予大力支持。</w:t>
      </w:r>
    </w:p>
    <w:p>
      <w:pPr>
        <w:numPr>
          <w:ilvl w:val="0"/>
          <w:numId w:val="1"/>
        </w:numPr>
        <w:spacing w:line="360" w:lineRule="auto"/>
        <w:rPr>
          <w:rFonts w:ascii="Times New Roman" w:hAnsi="Times New Roman" w:eastAsia="宋体" w:cs="Times New Roman"/>
          <w:b/>
          <w:color w:val="0C0C0C" w:themeColor="text1" w:themeTint="F2"/>
          <w:sz w:val="24"/>
        </w:rPr>
      </w:pPr>
      <w:r>
        <w:rPr>
          <w:rFonts w:ascii="Times New Roman" w:hAnsi="Times New Roman" w:eastAsia="宋体" w:cs="Times New Roman"/>
          <w:b/>
          <w:color w:val="0C0C0C" w:themeColor="text1" w:themeTint="F2"/>
          <w:sz w:val="24"/>
        </w:rPr>
        <w:t>完成人合作关系情况</w:t>
      </w:r>
    </w:p>
    <w:p>
      <w:pPr>
        <w:spacing w:line="360" w:lineRule="auto"/>
        <w:ind w:firstLine="480" w:firstLineChars="200"/>
        <w:rPr>
          <w:rFonts w:hint="eastAsia" w:ascii="Times New Roman" w:hAnsi="Times New Roman" w:eastAsia="宋体" w:cs="Times New Roman"/>
          <w:color w:val="0C0C0C" w:themeColor="text1" w:themeTint="F2"/>
          <w:sz w:val="24"/>
          <w:lang w:val="en-US" w:eastAsia="zh-CN"/>
        </w:rPr>
      </w:pPr>
      <w:r>
        <w:rPr>
          <w:rFonts w:ascii="Times New Roman" w:hAnsi="Times New Roman" w:eastAsia="宋体" w:cs="Times New Roman"/>
          <w:bCs/>
          <w:color w:val="0C0C0C" w:themeColor="text1" w:themeTint="F2"/>
          <w:sz w:val="24"/>
        </w:rPr>
        <w:t>浙江医院束龙</w:t>
      </w:r>
      <w:r>
        <w:rPr>
          <w:rFonts w:hint="eastAsia" w:ascii="Times New Roman" w:hAnsi="Times New Roman" w:eastAsia="宋体" w:cs="Times New Roman"/>
          <w:bCs/>
          <w:color w:val="0C0C0C" w:themeColor="text1" w:themeTint="F2"/>
          <w:sz w:val="24"/>
          <w:lang w:eastAsia="zh-CN"/>
        </w:rPr>
        <w:t>主管</w:t>
      </w:r>
      <w:r>
        <w:rPr>
          <w:rFonts w:ascii="Times New Roman" w:hAnsi="Times New Roman" w:eastAsia="宋体" w:cs="Times New Roman"/>
          <w:bCs/>
          <w:color w:val="0C0C0C" w:themeColor="text1" w:themeTint="F2"/>
          <w:sz w:val="24"/>
        </w:rPr>
        <w:t>医师、王卫光</w:t>
      </w:r>
      <w:r>
        <w:rPr>
          <w:rFonts w:hint="eastAsia" w:ascii="Times New Roman" w:hAnsi="Times New Roman" w:eastAsia="宋体" w:cs="Times New Roman"/>
          <w:bCs/>
          <w:color w:val="0C0C0C" w:themeColor="text1" w:themeTint="F2"/>
          <w:sz w:val="24"/>
          <w:lang w:eastAsia="zh-CN"/>
        </w:rPr>
        <w:t>主管</w:t>
      </w:r>
      <w:r>
        <w:rPr>
          <w:rFonts w:ascii="Times New Roman" w:hAnsi="Times New Roman" w:eastAsia="宋体" w:cs="Times New Roman"/>
          <w:bCs/>
          <w:color w:val="0C0C0C" w:themeColor="text1" w:themeTint="F2"/>
          <w:sz w:val="24"/>
        </w:rPr>
        <w:t>医师、</w:t>
      </w:r>
      <w:r>
        <w:rPr>
          <w:rFonts w:hint="eastAsia" w:ascii="Times New Roman" w:hAnsi="Times New Roman" w:eastAsia="宋体" w:cs="Times New Roman"/>
          <w:bCs/>
          <w:color w:val="0C0C0C" w:themeColor="text1" w:themeTint="F2"/>
          <w:sz w:val="24"/>
          <w:lang w:eastAsia="zh-CN"/>
        </w:rPr>
        <w:t>朱琴副主任医师、周锋主治医师、斯彩娟副主任技师、</w:t>
      </w:r>
      <w:r>
        <w:rPr>
          <w:rFonts w:ascii="Times New Roman" w:hAnsi="Times New Roman" w:eastAsia="宋体" w:cs="Times New Roman"/>
          <w:bCs/>
          <w:color w:val="0C0C0C" w:themeColor="text1" w:themeTint="F2"/>
          <w:sz w:val="24"/>
        </w:rPr>
        <w:t>平湖市第一人民医院沈晓明主任医师</w:t>
      </w:r>
      <w:r>
        <w:rPr>
          <w:rFonts w:hint="eastAsia" w:ascii="Times New Roman" w:hAnsi="Times New Roman" w:eastAsia="宋体" w:cs="Times New Roman"/>
          <w:bCs/>
          <w:color w:val="0C0C0C" w:themeColor="text1" w:themeTint="F2"/>
          <w:sz w:val="24"/>
        </w:rPr>
        <w:t>及安吉县人民医院</w:t>
      </w:r>
      <w:r>
        <w:rPr>
          <w:rFonts w:hint="eastAsia" w:ascii="Times New Roman" w:hAnsi="Times New Roman" w:eastAsia="宋体" w:cs="Times New Roman"/>
          <w:bCs/>
          <w:color w:val="auto"/>
          <w:sz w:val="24"/>
          <w:lang w:eastAsia="zh-CN"/>
        </w:rPr>
        <w:t>孙春芳主管护师</w:t>
      </w:r>
      <w:r>
        <w:rPr>
          <w:rFonts w:ascii="Times New Roman" w:hAnsi="Times New Roman" w:eastAsia="宋体" w:cs="Times New Roman"/>
          <w:bCs/>
          <w:color w:val="0C0C0C" w:themeColor="text1" w:themeTint="F2"/>
          <w:sz w:val="24"/>
        </w:rPr>
        <w:t>等人，以主要完成人身份参与浙江医院郑培奋主任医师牵头的浙江省省部培育计划项目</w:t>
      </w:r>
      <w:r>
        <w:rPr>
          <w:rFonts w:hint="eastAsia" w:ascii="Times New Roman" w:hAnsi="Times New Roman" w:eastAsia="宋体" w:cs="Times New Roman"/>
          <w:bCs/>
          <w:color w:val="0C0C0C" w:themeColor="text1" w:themeTint="F2"/>
          <w:sz w:val="24"/>
        </w:rPr>
        <w:t>“</w:t>
      </w:r>
      <w:r>
        <w:rPr>
          <w:rFonts w:ascii="Times New Roman" w:hAnsi="Times New Roman" w:eastAsia="宋体" w:cs="Times New Roman"/>
          <w:color w:val="0C0C0C" w:themeColor="text1" w:themeTint="F2"/>
          <w:sz w:val="24"/>
        </w:rPr>
        <w:t>碳水化合物交换份法在糖尿病饮食干预中的应用研究</w:t>
      </w:r>
      <w:r>
        <w:rPr>
          <w:rFonts w:hint="eastAsia" w:ascii="Times New Roman" w:hAnsi="Times New Roman" w:eastAsia="宋体" w:cs="Times New Roman"/>
          <w:bCs/>
          <w:color w:val="0C0C0C" w:themeColor="text1" w:themeTint="F2"/>
          <w:sz w:val="24"/>
        </w:rPr>
        <w:t>”</w:t>
      </w:r>
      <w:r>
        <w:rPr>
          <w:rFonts w:ascii="Times New Roman" w:hAnsi="Times New Roman" w:eastAsia="宋体" w:cs="Times New Roman"/>
          <w:bCs/>
          <w:color w:val="0C0C0C" w:themeColor="text1" w:themeTint="F2"/>
          <w:sz w:val="24"/>
        </w:rPr>
        <w:t>（2014PYA002），上述完成人在</w:t>
      </w:r>
      <w:r>
        <w:rPr>
          <w:rFonts w:hint="eastAsia" w:ascii="Times New Roman" w:hAnsi="Times New Roman" w:eastAsia="宋体" w:cs="Times New Roman"/>
          <w:bCs/>
          <w:color w:val="0C0C0C" w:themeColor="text1" w:themeTint="F2"/>
          <w:sz w:val="24"/>
          <w:lang w:eastAsia="zh-CN"/>
        </w:rPr>
        <w:t>项目申报、</w:t>
      </w:r>
      <w:r>
        <w:rPr>
          <w:rFonts w:ascii="Times New Roman" w:hAnsi="Times New Roman" w:eastAsia="宋体" w:cs="Times New Roman"/>
          <w:bCs/>
          <w:color w:val="0C0C0C" w:themeColor="text1" w:themeTint="F2"/>
          <w:sz w:val="24"/>
        </w:rPr>
        <w:t>项目实施阶段的糖尿病餐配制、临床病例收集与管理、数据录入与分析、文章撰写及后期推广应用方面做出了重要贡献。根据研究结果发表</w:t>
      </w:r>
      <w:r>
        <w:rPr>
          <w:rFonts w:hint="eastAsia" w:ascii="Times New Roman" w:hAnsi="Times New Roman" w:eastAsia="宋体" w:cs="Times New Roman"/>
          <w:bCs/>
          <w:color w:val="auto"/>
          <w:sz w:val="24"/>
        </w:rPr>
        <w:t>代表性</w:t>
      </w:r>
      <w:r>
        <w:rPr>
          <w:rFonts w:hint="eastAsia" w:ascii="Times New Roman" w:hAnsi="Times New Roman" w:eastAsia="宋体" w:cs="Times New Roman"/>
          <w:bCs/>
          <w:color w:val="0C0C0C" w:themeColor="text1" w:themeTint="F2"/>
          <w:sz w:val="24"/>
        </w:rPr>
        <w:t>论文</w:t>
      </w:r>
      <w:r>
        <w:rPr>
          <w:rFonts w:hint="eastAsia" w:ascii="Times New Roman" w:hAnsi="Times New Roman" w:eastAsia="宋体" w:cs="Times New Roman"/>
          <w:bCs/>
          <w:color w:val="0C0C0C" w:themeColor="text1" w:themeTint="F2"/>
          <w:sz w:val="24"/>
          <w:lang w:eastAsia="zh-CN"/>
        </w:rPr>
        <w:t>《</w:t>
      </w:r>
      <w:r>
        <w:rPr>
          <w:rFonts w:hint="eastAsia" w:ascii="Times New Roman" w:hAnsi="Times New Roman" w:eastAsia="宋体" w:cs="Times New Roman"/>
          <w:color w:val="0C0C0C" w:themeColor="text1" w:themeTint="F2"/>
          <w:sz w:val="24"/>
        </w:rPr>
        <w:t>Association between dietary patterns and glycaemic control in a middle-aged Chinese population</w:t>
      </w:r>
      <w:r>
        <w:rPr>
          <w:rFonts w:hint="eastAsia" w:ascii="Times New Roman" w:hAnsi="Times New Roman" w:eastAsia="宋体" w:cs="Times New Roman"/>
          <w:bCs/>
          <w:color w:val="0C0C0C" w:themeColor="text1" w:themeTint="F2"/>
          <w:sz w:val="24"/>
          <w:lang w:eastAsia="zh-CN"/>
        </w:rPr>
        <w:t>》、《</w:t>
      </w:r>
      <w:r>
        <w:rPr>
          <w:rFonts w:hint="eastAsia" w:ascii="Times New Roman" w:hAnsi="Times New Roman" w:eastAsia="宋体" w:cs="Times New Roman"/>
          <w:color w:val="0C0C0C" w:themeColor="text1" w:themeTint="F2"/>
          <w:sz w:val="24"/>
          <w:lang w:val="en-US" w:eastAsia="zh-CN"/>
        </w:rPr>
        <w:t>Association of dietary fiber intake with newly-diagnosed type 2 diabetes mellitus in middle-aged Chinese population</w:t>
      </w:r>
      <w:r>
        <w:rPr>
          <w:rFonts w:hint="eastAsia" w:ascii="Times New Roman" w:hAnsi="Times New Roman" w:eastAsia="宋体" w:cs="Times New Roman"/>
          <w:bCs/>
          <w:color w:val="0C0C0C" w:themeColor="text1" w:themeTint="F2"/>
          <w:sz w:val="24"/>
          <w:lang w:eastAsia="zh-CN"/>
        </w:rPr>
        <w:t>》、《</w:t>
      </w:r>
      <w:r>
        <w:rPr>
          <w:rFonts w:hint="eastAsia" w:ascii="Times New Roman" w:hAnsi="Times New Roman" w:eastAsia="宋体" w:cs="Times New Roman"/>
          <w:color w:val="0C0C0C" w:themeColor="text1" w:themeTint="F2"/>
          <w:sz w:val="24"/>
          <w:lang w:val="en-US" w:eastAsia="zh-CN"/>
        </w:rPr>
        <w:t>Association between dietary patterns and prediabetes risk in a middle-aged Chinese population</w:t>
      </w:r>
      <w:r>
        <w:rPr>
          <w:rFonts w:hint="eastAsia" w:ascii="Times New Roman" w:hAnsi="Times New Roman" w:eastAsia="宋体" w:cs="Times New Roman"/>
          <w:bCs/>
          <w:color w:val="0C0C0C" w:themeColor="text1" w:themeTint="F2"/>
          <w:sz w:val="24"/>
          <w:lang w:eastAsia="zh-CN"/>
        </w:rPr>
        <w:t>》、《</w:t>
      </w:r>
      <w:r>
        <w:rPr>
          <w:rFonts w:hint="eastAsia" w:ascii="Times New Roman" w:hAnsi="Times New Roman" w:eastAsia="宋体" w:cs="Times New Roman"/>
          <w:color w:val="0C0C0C" w:themeColor="text1" w:themeTint="F2"/>
          <w:sz w:val="24"/>
          <w:lang w:val="en-US" w:eastAsia="zh-CN"/>
        </w:rPr>
        <w:t>Dietary patterns are associated with type 2 diabetes mellitus among middle-aged adults in Zhejiang Province, China</w:t>
      </w:r>
      <w:r>
        <w:rPr>
          <w:rFonts w:hint="eastAsia" w:ascii="Times New Roman" w:hAnsi="Times New Roman" w:eastAsia="宋体" w:cs="Times New Roman"/>
          <w:bCs/>
          <w:color w:val="0C0C0C" w:themeColor="text1" w:themeTint="F2"/>
          <w:sz w:val="24"/>
          <w:lang w:eastAsia="zh-CN"/>
        </w:rPr>
        <w:t>》、《</w:t>
      </w:r>
      <w:r>
        <w:rPr>
          <w:rFonts w:hint="eastAsia" w:ascii="Times New Roman" w:hAnsi="Times New Roman" w:eastAsia="宋体" w:cs="Times New Roman"/>
          <w:color w:val="0C0C0C" w:themeColor="text1" w:themeTint="F2"/>
          <w:sz w:val="24"/>
          <w:lang w:val="en-US" w:eastAsia="zh-CN"/>
        </w:rPr>
        <w:t>碳水化合物交换份法饮食干预对新发糖耐量异常患者的疗效</w:t>
      </w:r>
      <w:r>
        <w:rPr>
          <w:rFonts w:hint="eastAsia" w:ascii="Times New Roman" w:hAnsi="Times New Roman" w:eastAsia="宋体" w:cs="Times New Roman"/>
          <w:bCs/>
          <w:color w:val="0C0C0C" w:themeColor="text1" w:themeTint="F2"/>
          <w:sz w:val="24"/>
          <w:lang w:eastAsia="zh-CN"/>
        </w:rPr>
        <w:t>》、《</w:t>
      </w:r>
      <w:r>
        <w:rPr>
          <w:rFonts w:hint="eastAsia" w:ascii="Times New Roman" w:hAnsi="Times New Roman" w:eastAsia="宋体" w:cs="Times New Roman"/>
          <w:color w:val="0C0C0C" w:themeColor="text1" w:themeTint="F2"/>
          <w:sz w:val="24"/>
          <w:lang w:val="en-US" w:eastAsia="zh-CN"/>
        </w:rPr>
        <w:t>基于碳水化合物计数法的低蛋白饮食对早期糖尿病肾病疗效</w:t>
      </w:r>
      <w:r>
        <w:rPr>
          <w:rFonts w:hint="eastAsia" w:ascii="Times New Roman" w:hAnsi="Times New Roman" w:eastAsia="宋体" w:cs="Times New Roman"/>
          <w:bCs/>
          <w:color w:val="0C0C0C" w:themeColor="text1" w:themeTint="F2"/>
          <w:sz w:val="24"/>
          <w:lang w:eastAsia="zh-CN"/>
        </w:rPr>
        <w:t>》、《</w:t>
      </w:r>
      <w:r>
        <w:rPr>
          <w:rFonts w:hint="eastAsia" w:ascii="Times New Roman" w:hAnsi="Times New Roman" w:eastAsia="宋体" w:cs="Times New Roman"/>
          <w:color w:val="0C0C0C" w:themeColor="text1" w:themeTint="F2"/>
          <w:sz w:val="24"/>
          <w:lang w:val="en-US" w:eastAsia="zh-CN"/>
        </w:rPr>
        <w:t>碳水化合物计数法对糖尿病合并非酒精性脂肪肝患者的疗效观察</w:t>
      </w:r>
      <w:r>
        <w:rPr>
          <w:rFonts w:hint="eastAsia" w:ascii="Times New Roman" w:hAnsi="Times New Roman" w:eastAsia="宋体" w:cs="Times New Roman"/>
          <w:bCs/>
          <w:color w:val="0C0C0C" w:themeColor="text1" w:themeTint="F2"/>
          <w:sz w:val="24"/>
          <w:lang w:eastAsia="zh-CN"/>
        </w:rPr>
        <w:t>》、《</w:t>
      </w:r>
      <w:r>
        <w:rPr>
          <w:rFonts w:hint="eastAsia" w:ascii="Times New Roman" w:hAnsi="Times New Roman" w:eastAsia="宋体" w:cs="Times New Roman"/>
          <w:color w:val="0C0C0C" w:themeColor="text1" w:themeTint="F2"/>
          <w:sz w:val="24"/>
          <w:lang w:val="en-US" w:eastAsia="zh-CN"/>
        </w:rPr>
        <w:t>碳水化合物交换份法饮食干预对2型糖尿病合并高尿酸血症患者的疗效观察</w:t>
      </w:r>
      <w:r>
        <w:rPr>
          <w:rFonts w:hint="eastAsia" w:ascii="Times New Roman" w:hAnsi="Times New Roman" w:eastAsia="宋体" w:cs="Times New Roman"/>
          <w:bCs/>
          <w:color w:val="0C0C0C" w:themeColor="text1" w:themeTint="F2"/>
          <w:sz w:val="24"/>
          <w:lang w:eastAsia="zh-CN"/>
        </w:rPr>
        <w:t>》、《</w:t>
      </w:r>
      <w:r>
        <w:rPr>
          <w:rFonts w:hint="eastAsia" w:ascii="Times New Roman" w:hAnsi="Times New Roman" w:eastAsia="宋体" w:cs="Times New Roman"/>
          <w:color w:val="0C0C0C" w:themeColor="text1" w:themeTint="F2"/>
          <w:sz w:val="24"/>
          <w:lang w:val="en-US" w:eastAsia="zh-CN"/>
        </w:rPr>
        <w:t>碳水化合物交换份法饮食干预对2型糖尿病患者疗效的影响</w:t>
      </w:r>
      <w:r>
        <w:rPr>
          <w:rFonts w:hint="eastAsia" w:ascii="Times New Roman" w:hAnsi="Times New Roman" w:eastAsia="宋体" w:cs="Times New Roman"/>
          <w:bCs/>
          <w:color w:val="0C0C0C" w:themeColor="text1" w:themeTint="F2"/>
          <w:sz w:val="24"/>
          <w:lang w:eastAsia="zh-CN"/>
        </w:rPr>
        <w:t>》、《</w:t>
      </w:r>
      <w:r>
        <w:rPr>
          <w:rFonts w:hint="eastAsia" w:ascii="Times New Roman" w:hAnsi="Times New Roman" w:eastAsia="宋体" w:cs="Times New Roman"/>
          <w:color w:val="0C0C0C" w:themeColor="text1" w:themeTint="F2"/>
          <w:sz w:val="24"/>
          <w:lang w:val="en-US" w:eastAsia="zh-CN"/>
        </w:rPr>
        <w:t>碳水化合物交换份法饮食干预对2型糖尿病合并超重及肥胖患者疗效分析</w:t>
      </w:r>
      <w:r>
        <w:rPr>
          <w:rFonts w:hint="eastAsia" w:ascii="Times New Roman" w:hAnsi="Times New Roman" w:eastAsia="宋体" w:cs="Times New Roman"/>
          <w:bCs/>
          <w:color w:val="0C0C0C" w:themeColor="text1" w:themeTint="F2"/>
          <w:sz w:val="24"/>
          <w:lang w:eastAsia="zh-CN"/>
        </w:rPr>
        <w:t>》，共</w:t>
      </w:r>
      <w:r>
        <w:rPr>
          <w:rFonts w:ascii="Times New Roman" w:hAnsi="Times New Roman" w:eastAsia="宋体" w:cs="Times New Roman"/>
          <w:bCs/>
          <w:color w:val="0C0C0C" w:themeColor="text1" w:themeTint="F2"/>
          <w:sz w:val="24"/>
        </w:rPr>
        <w:t>10篇</w:t>
      </w:r>
      <w:r>
        <w:rPr>
          <w:rFonts w:hint="eastAsia" w:ascii="Times New Roman" w:hAnsi="Times New Roman" w:eastAsia="宋体" w:cs="Times New Roman"/>
          <w:bCs/>
          <w:color w:val="0C0C0C" w:themeColor="text1" w:themeTint="F2"/>
          <w:sz w:val="24"/>
          <w:lang w:eastAsia="zh-CN"/>
        </w:rPr>
        <w:t>；</w:t>
      </w:r>
      <w:r>
        <w:rPr>
          <w:rFonts w:hint="eastAsia" w:ascii="Times New Roman" w:hAnsi="Times New Roman" w:eastAsia="宋体" w:cs="Times New Roman"/>
          <w:color w:val="auto"/>
          <w:sz w:val="24"/>
        </w:rPr>
        <w:t>主编副主编专著《老年人营养攻略》</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rPr>
        <w:t>《做自己的临床营养专家-老年篇》</w:t>
      </w:r>
      <w:r>
        <w:rPr>
          <w:rFonts w:hint="eastAsia" w:ascii="Times New Roman" w:hAnsi="Times New Roman" w:eastAsia="宋体" w:cs="Times New Roman"/>
          <w:color w:val="auto"/>
          <w:sz w:val="24"/>
          <w:lang w:eastAsia="zh-CN"/>
        </w:rPr>
        <w:t>，共</w:t>
      </w:r>
      <w:r>
        <w:rPr>
          <w:rFonts w:hint="eastAsia" w:ascii="Times New Roman" w:hAnsi="Times New Roman" w:eastAsia="宋体" w:cs="Times New Roman"/>
          <w:color w:val="auto"/>
          <w:sz w:val="24"/>
          <w:lang w:val="en-US" w:eastAsia="zh-CN"/>
        </w:rPr>
        <w:t>2本</w:t>
      </w:r>
      <w:r>
        <w:rPr>
          <w:rFonts w:ascii="Times New Roman" w:hAnsi="Times New Roman" w:eastAsia="宋体" w:cs="Times New Roman"/>
          <w:bCs/>
          <w:color w:val="0C0C0C" w:themeColor="text1" w:themeTint="F2"/>
          <w:sz w:val="24"/>
        </w:rPr>
        <w:t>。</w:t>
      </w:r>
    </w:p>
    <w:p>
      <w:pPr>
        <w:numPr>
          <w:ilvl w:val="0"/>
          <w:numId w:val="1"/>
        </w:numPr>
        <w:spacing w:line="360" w:lineRule="auto"/>
        <w:rPr>
          <w:rFonts w:ascii="Times New Roman" w:hAnsi="Times New Roman" w:eastAsia="宋体" w:cs="Times New Roman"/>
          <w:b/>
          <w:color w:val="0C0C0C" w:themeColor="text1" w:themeTint="F2"/>
          <w:sz w:val="24"/>
        </w:rPr>
      </w:pPr>
      <w:r>
        <w:rPr>
          <w:rFonts w:ascii="Times New Roman" w:hAnsi="Times New Roman" w:eastAsia="宋体" w:cs="Times New Roman"/>
          <w:b/>
          <w:color w:val="0C0C0C" w:themeColor="text1" w:themeTint="F2"/>
          <w:sz w:val="24"/>
        </w:rPr>
        <w:t>主要完成单位情况</w:t>
      </w:r>
    </w:p>
    <w:p>
      <w:pPr>
        <w:spacing w:line="360" w:lineRule="auto"/>
        <w:rPr>
          <w:rFonts w:ascii="Times New Roman" w:hAnsi="Times New Roman" w:eastAsia="宋体" w:cs="Times New Roman"/>
          <w:bCs/>
          <w:color w:val="0C0C0C" w:themeColor="text1" w:themeTint="F2"/>
          <w:sz w:val="24"/>
        </w:rPr>
      </w:pPr>
      <w:r>
        <w:rPr>
          <w:rFonts w:ascii="Times New Roman" w:hAnsi="Times New Roman" w:eastAsia="宋体" w:cs="Times New Roman"/>
          <w:bCs/>
          <w:color w:val="0C0C0C" w:themeColor="text1" w:themeTint="F2"/>
          <w:sz w:val="24"/>
        </w:rPr>
        <w:t>第一位：浙江医院，作为项目牵头单位，在项目启动、项目实施、项目完成及验收整个过程中给与充分的支持和配合，在协调安排、协调各相关部门等方面给予大力支持和监督，在项目推广应用方面给予很好的支撑作用。</w:t>
      </w:r>
    </w:p>
    <w:p>
      <w:pPr>
        <w:spacing w:line="360" w:lineRule="auto"/>
        <w:rPr>
          <w:rFonts w:ascii="Times New Roman" w:hAnsi="Times New Roman" w:eastAsia="宋体" w:cs="Times New Roman"/>
          <w:bCs/>
          <w:color w:val="0C0C0C" w:themeColor="text1" w:themeTint="F2"/>
          <w:sz w:val="24"/>
        </w:rPr>
      </w:pPr>
      <w:r>
        <w:rPr>
          <w:rFonts w:ascii="Times New Roman" w:hAnsi="Times New Roman" w:eastAsia="宋体" w:cs="Times New Roman"/>
          <w:bCs/>
          <w:color w:val="0C0C0C" w:themeColor="text1" w:themeTint="F2"/>
          <w:sz w:val="24"/>
        </w:rPr>
        <w:t>第二位：平湖市第一人民医院，作为合作单位，在项目实施阶段给予充分支持和配合，在项目推广应用过程中给予全力配合。</w:t>
      </w:r>
    </w:p>
    <w:p>
      <w:pPr>
        <w:spacing w:line="360" w:lineRule="auto"/>
        <w:rPr>
          <w:b/>
          <w:color w:val="0C0C0C" w:themeColor="text1" w:themeTint="F2"/>
          <w:sz w:val="24"/>
        </w:rPr>
      </w:pPr>
      <w:r>
        <w:rPr>
          <w:rFonts w:hint="eastAsia" w:ascii="Times New Roman" w:hAnsi="Times New Roman" w:eastAsia="宋体" w:cs="Times New Roman"/>
          <w:bCs/>
          <w:color w:val="0C0C0C" w:themeColor="text1" w:themeTint="F2"/>
          <w:sz w:val="24"/>
          <w:lang w:val="en-US" w:eastAsia="zh-CN"/>
        </w:rPr>
        <w:t>第三位：</w:t>
      </w:r>
      <w:r>
        <w:rPr>
          <w:rFonts w:hint="eastAsia" w:ascii="Times New Roman" w:hAnsi="Times New Roman" w:eastAsia="宋体" w:cs="Times New Roman"/>
          <w:bCs/>
          <w:color w:val="0C0C0C" w:themeColor="text1" w:themeTint="F2"/>
          <w:sz w:val="24"/>
        </w:rPr>
        <w:t>安吉县</w:t>
      </w:r>
      <w:r>
        <w:rPr>
          <w:rFonts w:ascii="Times New Roman" w:hAnsi="Times New Roman" w:eastAsia="宋体" w:cs="Times New Roman"/>
          <w:bCs/>
          <w:color w:val="0C0C0C" w:themeColor="text1" w:themeTint="F2"/>
          <w:sz w:val="24"/>
        </w:rPr>
        <w:t>人民医院，作为合作单位，在项目实施阶段给予充分支持和配合，在项目推广应用过程中给予全力配合。</w:t>
      </w:r>
    </w:p>
    <w:p>
      <w:pPr>
        <w:spacing w:line="360" w:lineRule="auto"/>
        <w:rPr>
          <w:rFonts w:hint="eastAsia" w:ascii="Times New Roman" w:hAnsi="Times New Roman" w:eastAsia="宋体" w:cs="Times New Roman"/>
          <w:bCs/>
          <w:color w:val="0C0C0C" w:themeColor="text1" w:themeTint="F2"/>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5F9BD4"/>
    <w:multiLevelType w:val="singleLevel"/>
    <w:tmpl w:val="B55F9BD4"/>
    <w:lvl w:ilvl="0" w:tentative="0">
      <w:start w:val="1"/>
      <w:numFmt w:val="decimal"/>
      <w:suff w:val="space"/>
      <w:lvlText w:val="[%1]."/>
      <w:lvlJc w:val="left"/>
    </w:lvl>
  </w:abstractNum>
  <w:abstractNum w:abstractNumId="1">
    <w:nsid w:val="D48BC269"/>
    <w:multiLevelType w:val="singleLevel"/>
    <w:tmpl w:val="D48BC269"/>
    <w:lvl w:ilvl="0" w:tentative="0">
      <w:start w:val="1"/>
      <w:numFmt w:val="decimal"/>
      <w:lvlText w:val="[%1]."/>
      <w:lvlJc w:val="left"/>
      <w:pPr>
        <w:tabs>
          <w:tab w:val="left" w:pos="312"/>
        </w:tabs>
      </w:pPr>
    </w:lvl>
  </w:abstractNum>
  <w:abstractNum w:abstractNumId="2">
    <w:nsid w:val="5A6543B9"/>
    <w:multiLevelType w:val="singleLevel"/>
    <w:tmpl w:val="5A6543B9"/>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CE29FE"/>
    <w:rsid w:val="00007485"/>
    <w:rsid w:val="00CE29FE"/>
    <w:rsid w:val="00D85B6E"/>
    <w:rsid w:val="019E5991"/>
    <w:rsid w:val="02095620"/>
    <w:rsid w:val="02D70A0E"/>
    <w:rsid w:val="0315082B"/>
    <w:rsid w:val="04393A41"/>
    <w:rsid w:val="051E30A5"/>
    <w:rsid w:val="06176A5D"/>
    <w:rsid w:val="06646291"/>
    <w:rsid w:val="072802E2"/>
    <w:rsid w:val="087E5EB6"/>
    <w:rsid w:val="08D12D8F"/>
    <w:rsid w:val="094B76BA"/>
    <w:rsid w:val="098153A3"/>
    <w:rsid w:val="09E11287"/>
    <w:rsid w:val="09EC26CC"/>
    <w:rsid w:val="0B714F52"/>
    <w:rsid w:val="0B715910"/>
    <w:rsid w:val="0D7C7C5B"/>
    <w:rsid w:val="0DF75A3C"/>
    <w:rsid w:val="0DFE45EB"/>
    <w:rsid w:val="0E8F1458"/>
    <w:rsid w:val="105578C1"/>
    <w:rsid w:val="11B22A81"/>
    <w:rsid w:val="12057120"/>
    <w:rsid w:val="12546D6D"/>
    <w:rsid w:val="12CB4BA9"/>
    <w:rsid w:val="130672C6"/>
    <w:rsid w:val="130801BE"/>
    <w:rsid w:val="15257814"/>
    <w:rsid w:val="152C6A1A"/>
    <w:rsid w:val="15AA591B"/>
    <w:rsid w:val="16484031"/>
    <w:rsid w:val="16B47C60"/>
    <w:rsid w:val="177B1BAD"/>
    <w:rsid w:val="185E7A76"/>
    <w:rsid w:val="18A10135"/>
    <w:rsid w:val="18B01DED"/>
    <w:rsid w:val="190551BD"/>
    <w:rsid w:val="19F11A14"/>
    <w:rsid w:val="1BC577D4"/>
    <w:rsid w:val="1CC83EB6"/>
    <w:rsid w:val="1CEE188D"/>
    <w:rsid w:val="1D5E67AF"/>
    <w:rsid w:val="1E267522"/>
    <w:rsid w:val="1EB72283"/>
    <w:rsid w:val="1EDF4B7C"/>
    <w:rsid w:val="201734BA"/>
    <w:rsid w:val="208910EC"/>
    <w:rsid w:val="214A398B"/>
    <w:rsid w:val="218A366C"/>
    <w:rsid w:val="237F7921"/>
    <w:rsid w:val="23DC7392"/>
    <w:rsid w:val="242E1C8E"/>
    <w:rsid w:val="256F6DFE"/>
    <w:rsid w:val="25AA394D"/>
    <w:rsid w:val="25CA2E42"/>
    <w:rsid w:val="2671622C"/>
    <w:rsid w:val="28762A01"/>
    <w:rsid w:val="2B2527D7"/>
    <w:rsid w:val="2CF75313"/>
    <w:rsid w:val="2D7340C1"/>
    <w:rsid w:val="2E181FC7"/>
    <w:rsid w:val="2F3354E7"/>
    <w:rsid w:val="30262E16"/>
    <w:rsid w:val="30404606"/>
    <w:rsid w:val="30881DDD"/>
    <w:rsid w:val="30BE0B8B"/>
    <w:rsid w:val="316D029A"/>
    <w:rsid w:val="31C067FC"/>
    <w:rsid w:val="31F84F45"/>
    <w:rsid w:val="3320108D"/>
    <w:rsid w:val="34B06684"/>
    <w:rsid w:val="34C315C4"/>
    <w:rsid w:val="353E6136"/>
    <w:rsid w:val="36477DA1"/>
    <w:rsid w:val="36F079A3"/>
    <w:rsid w:val="37564CF1"/>
    <w:rsid w:val="38EC0F57"/>
    <w:rsid w:val="396A502F"/>
    <w:rsid w:val="399A66F5"/>
    <w:rsid w:val="3A14725D"/>
    <w:rsid w:val="3A2841BD"/>
    <w:rsid w:val="3A300EDD"/>
    <w:rsid w:val="3AC9498B"/>
    <w:rsid w:val="3ACE70BB"/>
    <w:rsid w:val="3ADE0C9B"/>
    <w:rsid w:val="3B730464"/>
    <w:rsid w:val="3D550664"/>
    <w:rsid w:val="3D6570E9"/>
    <w:rsid w:val="3EE55168"/>
    <w:rsid w:val="3F0A7E04"/>
    <w:rsid w:val="3F535C0E"/>
    <w:rsid w:val="3F8F1C22"/>
    <w:rsid w:val="3FDD3271"/>
    <w:rsid w:val="41960B55"/>
    <w:rsid w:val="419A07BF"/>
    <w:rsid w:val="428C49F8"/>
    <w:rsid w:val="438759C2"/>
    <w:rsid w:val="44F91777"/>
    <w:rsid w:val="44FF4BCC"/>
    <w:rsid w:val="45900758"/>
    <w:rsid w:val="45D052D9"/>
    <w:rsid w:val="463425F6"/>
    <w:rsid w:val="46C93B10"/>
    <w:rsid w:val="470B70E1"/>
    <w:rsid w:val="472812C1"/>
    <w:rsid w:val="47CC48D2"/>
    <w:rsid w:val="48757224"/>
    <w:rsid w:val="48C117B4"/>
    <w:rsid w:val="4D362643"/>
    <w:rsid w:val="4D81553C"/>
    <w:rsid w:val="4DFD41DB"/>
    <w:rsid w:val="4DFD78F6"/>
    <w:rsid w:val="4EE05987"/>
    <w:rsid w:val="4F356650"/>
    <w:rsid w:val="4F39427A"/>
    <w:rsid w:val="4F802C9A"/>
    <w:rsid w:val="4F960D3E"/>
    <w:rsid w:val="4FDF7EF3"/>
    <w:rsid w:val="50187E56"/>
    <w:rsid w:val="5164345C"/>
    <w:rsid w:val="51736C9C"/>
    <w:rsid w:val="51D655A4"/>
    <w:rsid w:val="522C0F59"/>
    <w:rsid w:val="528763FF"/>
    <w:rsid w:val="52A1228B"/>
    <w:rsid w:val="53305BB4"/>
    <w:rsid w:val="53C327D5"/>
    <w:rsid w:val="543602B4"/>
    <w:rsid w:val="55E778D3"/>
    <w:rsid w:val="56461194"/>
    <w:rsid w:val="585B36D2"/>
    <w:rsid w:val="5A4B0044"/>
    <w:rsid w:val="5C773603"/>
    <w:rsid w:val="5D007F5A"/>
    <w:rsid w:val="5E0D334D"/>
    <w:rsid w:val="60BD52D5"/>
    <w:rsid w:val="612E237A"/>
    <w:rsid w:val="61794076"/>
    <w:rsid w:val="63154B68"/>
    <w:rsid w:val="63696C5A"/>
    <w:rsid w:val="637A6CD8"/>
    <w:rsid w:val="63F457F7"/>
    <w:rsid w:val="641C5C78"/>
    <w:rsid w:val="647C4C86"/>
    <w:rsid w:val="64C30FAC"/>
    <w:rsid w:val="64C45095"/>
    <w:rsid w:val="6645236D"/>
    <w:rsid w:val="67B5569E"/>
    <w:rsid w:val="68C3392C"/>
    <w:rsid w:val="692860AD"/>
    <w:rsid w:val="6A3F7DD0"/>
    <w:rsid w:val="6A7316AA"/>
    <w:rsid w:val="6B3777FF"/>
    <w:rsid w:val="6C2B37BC"/>
    <w:rsid w:val="6C693A22"/>
    <w:rsid w:val="6CBF48BF"/>
    <w:rsid w:val="6CD5390A"/>
    <w:rsid w:val="6E846FB1"/>
    <w:rsid w:val="6EA71B94"/>
    <w:rsid w:val="6F5D7E04"/>
    <w:rsid w:val="6F8328FF"/>
    <w:rsid w:val="6F9E2BC9"/>
    <w:rsid w:val="701043F5"/>
    <w:rsid w:val="70D85D13"/>
    <w:rsid w:val="71150CEF"/>
    <w:rsid w:val="71637AD3"/>
    <w:rsid w:val="718D1874"/>
    <w:rsid w:val="72B15ED1"/>
    <w:rsid w:val="72F54104"/>
    <w:rsid w:val="73970283"/>
    <w:rsid w:val="73EC519B"/>
    <w:rsid w:val="74336259"/>
    <w:rsid w:val="75F37538"/>
    <w:rsid w:val="766B03F6"/>
    <w:rsid w:val="79BF0900"/>
    <w:rsid w:val="7A5B48A1"/>
    <w:rsid w:val="7B6D563B"/>
    <w:rsid w:val="7B8B3BA3"/>
    <w:rsid w:val="7B9157E7"/>
    <w:rsid w:val="7BB16F96"/>
    <w:rsid w:val="7C671B5C"/>
    <w:rsid w:val="7E4B6585"/>
    <w:rsid w:val="7E8F2375"/>
    <w:rsid w:val="7F3B1C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 w:type="character" w:customStyle="1" w:styleId="10">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杭州市政府</Company>
  <Pages>7</Pages>
  <Words>3958</Words>
  <Characters>2259</Characters>
  <Lines>18</Lines>
  <Paragraphs>12</Paragraphs>
  <TotalTime>8</TotalTime>
  <ScaleCrop>false</ScaleCrop>
  <LinksUpToDate>false</LinksUpToDate>
  <CharactersWithSpaces>6205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微笑的妞妞</cp:lastModifiedBy>
  <dcterms:modified xsi:type="dcterms:W3CDTF">2022-02-18T08:18:02Z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EF9EA389D9674B4F8F9AEDD7A4269899</vt:lpwstr>
  </property>
</Properties>
</file>